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16 w16cex w16sdtdh wp14">
  <w:body>
    <w:p w:rsidR="00620239" w:rsidP="00BA47D0" w:rsidRDefault="00384987" w14:paraId="4D1998B4" w14:textId="77777777">
      <w:pPr>
        <w:sectPr w:rsidR="00620239" w:rsidSect="00620239">
          <w:footerReference w:type="default" r:id="rId8"/>
          <w:type w:val="continuous"/>
          <w:pgSz w:w="12240" w:h="15840" w:orient="portrait"/>
          <w:pgMar w:top="1440" w:right="1080" w:bottom="1440" w:left="1080" w:header="720" w:footer="720" w:gutter="0"/>
          <w:cols w:space="720"/>
          <w:docGrid w:linePitch="360"/>
        </w:sectPr>
      </w:pPr>
      <w:r>
        <w:rPr>
          <w:noProof/>
        </w:rPr>
        <w:drawing>
          <wp:inline distT="0" distB="0" distL="0" distR="0" wp14:anchorId="56BC8B15" wp14:editId="6B438D9D">
            <wp:extent cx="6921304" cy="86516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48129" cy="868516"/>
                    </a:xfrm>
                    <a:prstGeom prst="rect">
                      <a:avLst/>
                    </a:prstGeom>
                  </pic:spPr>
                </pic:pic>
              </a:graphicData>
            </a:graphic>
          </wp:inline>
        </w:drawing>
      </w:r>
    </w:p>
    <w:p w:rsidR="0000536A" w:rsidP="00BA47D0" w:rsidRDefault="0000536A" w14:paraId="52A14F2A" w14:textId="21016202"/>
    <w:p w:rsidR="0000536A" w:rsidP="00BA47D0" w:rsidRDefault="0000536A" w14:paraId="31B9660A" w14:textId="77777777"/>
    <w:p w:rsidR="00620239" w:rsidP="00BA47D0" w:rsidRDefault="00620239" w14:paraId="5B50FBFA" w14:textId="77777777">
      <w:pPr>
        <w:sectPr w:rsidR="00620239" w:rsidSect="00E15342">
          <w:type w:val="continuous"/>
          <w:pgSz w:w="12240" w:h="15840" w:orient="portrait"/>
          <w:pgMar w:top="1440" w:right="1080" w:bottom="1440" w:left="1080" w:header="720" w:footer="720" w:gutter="0"/>
          <w:cols w:space="720" w:num="2"/>
          <w:docGrid w:linePitch="360"/>
        </w:sectPr>
      </w:pPr>
    </w:p>
    <w:p w:rsidRPr="005C529A" w:rsidR="00620239" w:rsidP="005C529A" w:rsidRDefault="48DDD17B" w14:paraId="48BEF7D8" w14:textId="6969FDA4">
      <w:pPr>
        <w:pStyle w:val="Title"/>
        <w:jc w:val="center"/>
        <w:rPr>
          <w:rFonts w:ascii="Cabin Condensed SemiBold" w:hAnsi="Cabin Condensed SemiBold"/>
          <w:sz w:val="36"/>
          <w:szCs w:val="36"/>
        </w:rPr>
      </w:pPr>
      <w:r w:rsidRPr="48DDD17B">
        <w:rPr>
          <w:rFonts w:ascii="Cabin Condensed SemiBold" w:hAnsi="Cabin Condensed SemiBold"/>
          <w:sz w:val="36"/>
          <w:szCs w:val="36"/>
        </w:rPr>
        <w:t>DATA FROM THE 2019-2020</w:t>
      </w:r>
    </w:p>
    <w:p w:rsidRPr="005C529A" w:rsidR="003C4A2A" w:rsidP="005C529A" w:rsidRDefault="003C4A2A" w14:paraId="25A6D29C" w14:textId="1036E708">
      <w:pPr>
        <w:pStyle w:val="Title"/>
        <w:jc w:val="center"/>
        <w:rPr>
          <w:rFonts w:ascii="Cabin Condensed SemiBold" w:hAnsi="Cabin Condensed SemiBold"/>
          <w:sz w:val="36"/>
          <w:szCs w:val="36"/>
        </w:rPr>
      </w:pPr>
      <w:r w:rsidRPr="005C529A">
        <w:rPr>
          <w:rFonts w:ascii="Cabin Condensed SemiBold" w:hAnsi="Cabin Condensed SemiBold"/>
          <w:sz w:val="36"/>
          <w:szCs w:val="36"/>
        </w:rPr>
        <w:t>NATIONAL AGRICULTURAL WORKERS SURVEY</w:t>
      </w:r>
    </w:p>
    <w:p w:rsidRPr="009B6FFE" w:rsidR="0000536A" w:rsidP="00BA47D0" w:rsidRDefault="0000536A" w14:paraId="6CAE3B57" w14:textId="69A644D6">
      <w:pPr>
        <w:rPr>
          <w:i/>
          <w:iCs/>
        </w:rPr>
      </w:pPr>
      <w:r w:rsidRPr="009B6FFE">
        <w:rPr>
          <w:i/>
          <w:iCs/>
        </w:rPr>
        <w:t xml:space="preserve">Updated: </w:t>
      </w:r>
      <w:r w:rsidRPr="009B6FFE" w:rsidR="00D02D47">
        <w:rPr>
          <w:i/>
          <w:iCs/>
        </w:rPr>
        <w:t>September 2022</w:t>
      </w:r>
    </w:p>
    <w:p w:rsidRPr="009B6FFE" w:rsidR="00CF50CE" w:rsidP="00BA47D0" w:rsidRDefault="00CF50CE" w14:paraId="421599A8" w14:textId="43A6AFAC">
      <w:pPr>
        <w:pStyle w:val="Heading1"/>
      </w:pPr>
      <w:r w:rsidRPr="009B6FFE">
        <w:t xml:space="preserve">Introduction </w:t>
      </w:r>
    </w:p>
    <w:p w:rsidRPr="009B6FFE" w:rsidR="00EF7E09" w:rsidP="00BA47D0" w:rsidRDefault="00967B0F" w14:paraId="3958A76C" w14:textId="79483AF7">
      <w:r w:rsidRPr="009B6FFE">
        <w:t xml:space="preserve">This fact sheet </w:t>
      </w:r>
      <w:r w:rsidRPr="009B6FFE" w:rsidR="00E6638B">
        <w:t xml:space="preserve">presents </w:t>
      </w:r>
      <w:r w:rsidRPr="009B6FFE">
        <w:t xml:space="preserve">key </w:t>
      </w:r>
      <w:r w:rsidRPr="009B6FFE" w:rsidR="00E6638B">
        <w:t>statistics</w:t>
      </w:r>
      <w:r w:rsidRPr="009B6FFE">
        <w:t xml:space="preserve"> </w:t>
      </w:r>
      <w:r w:rsidRPr="009B6FFE" w:rsidR="00E6638B">
        <w:t xml:space="preserve">on </w:t>
      </w:r>
      <w:r w:rsidRPr="009B6FFE">
        <w:t xml:space="preserve">the health of </w:t>
      </w:r>
      <w:r w:rsidRPr="009B6FFE" w:rsidR="6C947E7E">
        <w:t>migratory</w:t>
      </w:r>
      <w:r w:rsidRPr="009B6FFE">
        <w:t xml:space="preserve"> and </w:t>
      </w:r>
      <w:r w:rsidRPr="009B6FFE" w:rsidDel="1F06F6A4">
        <w:t>s</w:t>
      </w:r>
      <w:r w:rsidRPr="009B6FFE">
        <w:t xml:space="preserve">easonal </w:t>
      </w:r>
      <w:r w:rsidRPr="009B6FFE" w:rsidDel="1F06F6A4">
        <w:t>a</w:t>
      </w:r>
      <w:r w:rsidRPr="009B6FFE">
        <w:t xml:space="preserve">gricultural </w:t>
      </w:r>
      <w:r w:rsidRPr="009B6FFE" w:rsidDel="1F06F6A4">
        <w:t>w</w:t>
      </w:r>
      <w:r w:rsidRPr="009B6FFE">
        <w:t>o</w:t>
      </w:r>
      <w:r w:rsidRPr="009B6FFE" w:rsidR="009C219B">
        <w:t>rker</w:t>
      </w:r>
      <w:r w:rsidRPr="009B6FFE" w:rsidR="00491D65">
        <w:t>s</w:t>
      </w:r>
      <w:r w:rsidRPr="009B6FFE" w:rsidR="009C219B">
        <w:t xml:space="preserve"> </w:t>
      </w:r>
      <w:r w:rsidRPr="009B6FFE" w:rsidR="00E6638B">
        <w:t>from</w:t>
      </w:r>
      <w:r w:rsidRPr="009B6FFE" w:rsidR="009C219B">
        <w:t xml:space="preserve"> data collected </w:t>
      </w:r>
      <w:r w:rsidRPr="009B6FFE" w:rsidR="005550EC">
        <w:t xml:space="preserve">primarily </w:t>
      </w:r>
      <w:r w:rsidRPr="009B6FFE" w:rsidR="008468B4">
        <w:t xml:space="preserve">from </w:t>
      </w:r>
      <w:r w:rsidRPr="009B6FFE" w:rsidR="00E961EA">
        <w:t>2,172</w:t>
      </w:r>
      <w:r w:rsidRPr="009B6FFE" w:rsidR="008468B4">
        <w:t xml:space="preserve"> agricultural workers </w:t>
      </w:r>
      <w:r w:rsidRPr="009B6FFE" w:rsidR="009C219B">
        <w:t>by</w:t>
      </w:r>
      <w:r w:rsidRPr="009B6FFE" w:rsidR="00E6638B">
        <w:t xml:space="preserve"> </w:t>
      </w:r>
      <w:r w:rsidRPr="009B6FFE">
        <w:t>the U.S. Department of Labor’s National Agricultural Workers Survey (NAWS)</w:t>
      </w:r>
      <w:r w:rsidRPr="009B6FFE" w:rsidR="00EF461C">
        <w:t xml:space="preserve"> </w:t>
      </w:r>
      <w:r w:rsidRPr="009B6FFE" w:rsidR="00E961EA">
        <w:t>between October 1, 2018, and September 30, 2020</w:t>
      </w:r>
      <w:r w:rsidRPr="009B6FFE" w:rsidR="002D1D79">
        <w:t xml:space="preserve"> (most recent available data)</w:t>
      </w:r>
      <w:r w:rsidRPr="009B6FFE">
        <w:t>.</w:t>
      </w:r>
      <w:r w:rsidRPr="0044555C" w:rsidR="00E00E1A">
        <w:rPr>
          <w:rStyle w:val="FootnoteReference"/>
        </w:rPr>
        <w:footnoteReference w:id="1"/>
      </w:r>
      <w:r w:rsidRPr="009B6FFE">
        <w:t xml:space="preserve"> The NAWS provides </w:t>
      </w:r>
      <w:r w:rsidRPr="009B6FFE" w:rsidR="004F3702">
        <w:t xml:space="preserve">information about the </w:t>
      </w:r>
      <w:r w:rsidRPr="009B6FFE" w:rsidR="00E6638B">
        <w:t xml:space="preserve">employment, </w:t>
      </w:r>
      <w:r w:rsidRPr="009B6FFE" w:rsidR="005E47DF">
        <w:t>demographic</w:t>
      </w:r>
      <w:r w:rsidRPr="009B6FFE" w:rsidR="00E6638B">
        <w:t>, and health character</w:t>
      </w:r>
      <w:r w:rsidRPr="009B6FFE" w:rsidR="005E47DF">
        <w:t>i</w:t>
      </w:r>
      <w:r w:rsidRPr="009B6FFE" w:rsidR="00E6638B">
        <w:t>s</w:t>
      </w:r>
      <w:r w:rsidRPr="009B6FFE" w:rsidR="005E47DF">
        <w:t>tics</w:t>
      </w:r>
      <w:r w:rsidRPr="009B6FFE" w:rsidR="00E6638B">
        <w:t xml:space="preserve"> </w:t>
      </w:r>
      <w:r w:rsidRPr="009B6FFE">
        <w:t>of crop workers</w:t>
      </w:r>
      <w:r w:rsidRPr="009B6FFE" w:rsidR="6C947E7E">
        <w:t>,</w:t>
      </w:r>
      <w:r w:rsidRPr="009B6FFE">
        <w:t xml:space="preserve"> and workers engaged in support activities for crop production</w:t>
      </w:r>
      <w:r w:rsidRPr="009B6FFE" w:rsidR="004F3702">
        <w:t>.</w:t>
      </w:r>
      <w:r w:rsidRPr="009B6FFE" w:rsidR="00E6638B">
        <w:t xml:space="preserve"> </w:t>
      </w:r>
      <w:r w:rsidRPr="009B6FFE" w:rsidR="002E1055">
        <w:t>Health data</w:t>
      </w:r>
      <w:r w:rsidRPr="009B6FFE" w:rsidR="005550EC">
        <w:t xml:space="preserve"> </w:t>
      </w:r>
      <w:r w:rsidRPr="009B6FFE" w:rsidR="002E1055">
        <w:t xml:space="preserve">covers health history, </w:t>
      </w:r>
      <w:r w:rsidRPr="009B6FFE" w:rsidR="00EF7E09">
        <w:t>occupational health</w:t>
      </w:r>
      <w:r w:rsidRPr="009B6FFE" w:rsidR="006B649A">
        <w:t>, and</w:t>
      </w:r>
      <w:r w:rsidRPr="009B6FFE" w:rsidR="00670D76">
        <w:t xml:space="preserve"> access</w:t>
      </w:r>
      <w:r w:rsidRPr="009B6FFE" w:rsidR="006B649A">
        <w:t xml:space="preserve"> to</w:t>
      </w:r>
      <w:r w:rsidRPr="009B6FFE" w:rsidR="00670D76">
        <w:t xml:space="preserve"> </w:t>
      </w:r>
      <w:r w:rsidRPr="009B6FFE" w:rsidR="00EF7E09">
        <w:t>health</w:t>
      </w:r>
      <w:r w:rsidRPr="009B6FFE" w:rsidR="008A75A0">
        <w:t xml:space="preserve"> </w:t>
      </w:r>
      <w:r w:rsidRPr="009B6FFE" w:rsidR="00670D76">
        <w:t>care</w:t>
      </w:r>
      <w:r w:rsidRPr="009B6FFE" w:rsidR="00EF7E09">
        <w:t xml:space="preserve">. </w:t>
      </w:r>
    </w:p>
    <w:p w:rsidRPr="009B6FFE" w:rsidR="00EF7E09" w:rsidP="00BA47D0" w:rsidRDefault="00EF7E09" w14:paraId="7EB0E118" w14:textId="7A10EADC">
      <w:pPr>
        <w:pStyle w:val="Heading1"/>
        <w:rPr>
          <w:b/>
          <w:bCs/>
        </w:rPr>
      </w:pPr>
      <w:r w:rsidRPr="009B6FFE">
        <w:t>LIMITATIONS</w:t>
      </w:r>
    </w:p>
    <w:p w:rsidRPr="009B6FFE" w:rsidR="00FA0B8C" w:rsidP="00BA47D0" w:rsidRDefault="7AA66C95" w14:paraId="2FC145A7" w14:textId="7EFBC871">
      <w:r w:rsidRPr="009B6FFE">
        <w:t xml:space="preserve">The NAWS is a valuable source of information but has several limitations. The </w:t>
      </w:r>
      <w:r w:rsidR="00B772EF">
        <w:t>NAWS</w:t>
      </w:r>
      <w:r w:rsidRPr="009B6FFE">
        <w:t xml:space="preserve"> includes workers on farm</w:t>
      </w:r>
      <w:r w:rsidR="00672852">
        <w:t xml:space="preserve">s, </w:t>
      </w:r>
      <w:r w:rsidRPr="009B6FFE">
        <w:t>orchards, greenhouses</w:t>
      </w:r>
      <w:r w:rsidR="000C160E">
        <w:t>,</w:t>
      </w:r>
      <w:r w:rsidRPr="009B6FFE">
        <w:t xml:space="preserve"> and nurseries, but it does not include workers employed in animal production, dairies, or aquaculture. The </w:t>
      </w:r>
      <w:r w:rsidR="00B772EF">
        <w:t xml:space="preserve">NAWS </w:t>
      </w:r>
      <w:r w:rsidRPr="009B6FFE">
        <w:t xml:space="preserve">covers a variety of farm jobs, including some supervisory positions. The NAWS includes </w:t>
      </w:r>
      <w:r w:rsidR="00B772EF">
        <w:t>farmworker</w:t>
      </w:r>
      <w:r w:rsidRPr="009B6FFE">
        <w:t>s regardless of immigration status but excludes H-2A guest workers</w:t>
      </w:r>
      <w:r w:rsidRPr="0044555C" w:rsidR="00D265D8">
        <w:rPr>
          <w:rStyle w:val="FootnoteReference"/>
        </w:rPr>
        <w:footnoteReference w:id="2"/>
      </w:r>
      <w:r w:rsidRPr="009B6FFE">
        <w:t xml:space="preserve"> </w:t>
      </w:r>
      <w:r w:rsidR="00387A83">
        <w:t>(</w:t>
      </w:r>
      <w:r w:rsidR="00D3195C">
        <w:t>farm</w:t>
      </w:r>
      <w:r w:rsidRPr="009B6FFE" w:rsidR="00D3195C">
        <w:t>workers</w:t>
      </w:r>
      <w:r w:rsidRPr="009B6FFE">
        <w:t xml:space="preserve"> from other countries in the U.S. on temporary work visas</w:t>
      </w:r>
      <w:r w:rsidR="00387A83">
        <w:t>)</w:t>
      </w:r>
      <w:r w:rsidRPr="009B6FFE">
        <w:t xml:space="preserve">. The NAWS interviews </w:t>
      </w:r>
      <w:r w:rsidR="00B772EF">
        <w:t>farmworker</w:t>
      </w:r>
      <w:r w:rsidRPr="009B6FFE">
        <w:t xml:space="preserve">s in their workplaces rather than their homes. The interviewed </w:t>
      </w:r>
      <w:r w:rsidR="00B772EF">
        <w:t>farmworker</w:t>
      </w:r>
      <w:r w:rsidRPr="009B6FFE">
        <w:t>s work for employers who consent to data collection by NAWS staff potentially leading to selection bias.</w:t>
      </w:r>
    </w:p>
    <w:p w:rsidRPr="009B6FFE" w:rsidR="0079220A" w:rsidP="00BA47D0" w:rsidRDefault="00E76C03" w14:paraId="69FC81FF" w14:textId="43EC0232">
      <w:pPr>
        <w:pStyle w:val="Heading1"/>
        <w:rPr>
          <w:b/>
          <w:bCs/>
        </w:rPr>
      </w:pPr>
      <w:r w:rsidRPr="009B6FFE">
        <w:t>GENERAL DEMOGRAPHICS</w:t>
      </w:r>
    </w:p>
    <w:p w:rsidRPr="009B6FFE" w:rsidR="00FC5EEB" w:rsidP="00BA47D0" w:rsidRDefault="31441C1A" w14:paraId="7736B339" w14:textId="195B3C5E">
      <w:pPr>
        <w:pStyle w:val="ListParagraph"/>
        <w:numPr>
          <w:ilvl w:val="0"/>
          <w:numId w:val="4"/>
        </w:numPr>
      </w:pPr>
      <w:r w:rsidRPr="009B6FFE">
        <w:rPr>
          <w:rStyle w:val="Heading2Char"/>
          <w:rFonts w:ascii="Cabin" w:hAnsi="Cabin"/>
          <w:b/>
        </w:rPr>
        <w:t>Place of Birth:</w:t>
      </w:r>
      <w:r w:rsidRPr="009B6FFE">
        <w:t xml:space="preserve"> Approximately six out of 10 </w:t>
      </w:r>
      <w:r w:rsidR="00B772EF">
        <w:t>farmworker</w:t>
      </w:r>
      <w:r w:rsidRPr="009B6FFE">
        <w:t xml:space="preserve">s were born in Mexico (63%); 30% were born in the United States or Puerto Rico. </w:t>
      </w:r>
    </w:p>
    <w:p w:rsidRPr="009B6FFE" w:rsidR="0079220A" w:rsidP="00BA47D0" w:rsidRDefault="21FC12D4" w14:paraId="77E5554D" w14:textId="70EF7783">
      <w:pPr>
        <w:pStyle w:val="ListParagraph"/>
        <w:numPr>
          <w:ilvl w:val="0"/>
          <w:numId w:val="4"/>
        </w:numPr>
      </w:pPr>
      <w:r w:rsidRPr="009B6FFE">
        <w:rPr>
          <w:b/>
          <w:bCs/>
        </w:rPr>
        <w:t>Ethnicity and Race:</w:t>
      </w:r>
      <w:r w:rsidRPr="009B6FFE">
        <w:t xml:space="preserve"> Seventy-eight percent of </w:t>
      </w:r>
      <w:r w:rsidR="00B772EF">
        <w:t>farmworker</w:t>
      </w:r>
      <w:r w:rsidRPr="009B6FFE">
        <w:t xml:space="preserve">s identified as Hispanic. Among U.S. born </w:t>
      </w:r>
      <w:r w:rsidR="00B772EF">
        <w:t>farmworker</w:t>
      </w:r>
      <w:r w:rsidRPr="009B6FFE">
        <w:t>s, 32% self-identified as Hispanic. Ten percent self-identified as Indigenous.</w:t>
      </w:r>
      <w:r w:rsidRPr="0044555C" w:rsidR="0097357F">
        <w:rPr>
          <w:rStyle w:val="FootnoteReference"/>
        </w:rPr>
        <w:footnoteReference w:id="3"/>
      </w:r>
    </w:p>
    <w:p w:rsidRPr="009B6FFE" w:rsidR="007B046B" w:rsidP="00BA47D0" w:rsidRDefault="73E8812F" w14:paraId="2DD6924C" w14:textId="6219C2C7">
      <w:pPr>
        <w:pStyle w:val="ListParagraph"/>
        <w:numPr>
          <w:ilvl w:val="0"/>
          <w:numId w:val="4"/>
        </w:numPr>
      </w:pPr>
      <w:r w:rsidRPr="009B6FFE">
        <w:rPr>
          <w:rStyle w:val="Heading2Char"/>
          <w:rFonts w:ascii="Cabin" w:hAnsi="Cabin"/>
          <w:b/>
        </w:rPr>
        <w:t>Gender:</w:t>
      </w:r>
      <w:r w:rsidRPr="009B6FFE">
        <w:t xml:space="preserve"> Sixty-six percent of NAWS respondents were male. </w:t>
      </w:r>
    </w:p>
    <w:p w:rsidRPr="009B6FFE" w:rsidR="00620239" w:rsidP="00BA47D0" w:rsidRDefault="007B046B" w14:paraId="6DD99758" w14:textId="323E4F0F">
      <w:pPr>
        <w:pStyle w:val="ListParagraph"/>
        <w:numPr>
          <w:ilvl w:val="0"/>
          <w:numId w:val="4"/>
        </w:numPr>
      </w:pPr>
      <w:r w:rsidRPr="009B6FFE">
        <w:rPr>
          <w:rStyle w:val="Heading2Char"/>
          <w:rFonts w:ascii="Cabin" w:hAnsi="Cabin"/>
          <w:b/>
          <w:bCs w:val="0"/>
        </w:rPr>
        <w:t>Age:</w:t>
      </w:r>
      <w:r w:rsidRPr="009B6FFE" w:rsidR="005224E1">
        <w:rPr>
          <w:b/>
        </w:rPr>
        <w:t xml:space="preserve"> </w:t>
      </w:r>
      <w:r w:rsidRPr="009B6FFE" w:rsidR="005224E1">
        <w:t xml:space="preserve">The average age </w:t>
      </w:r>
      <w:r w:rsidRPr="009B6FFE" w:rsidR="00DB236A">
        <w:t xml:space="preserve">of </w:t>
      </w:r>
      <w:r w:rsidR="00B772EF">
        <w:t>farmworker</w:t>
      </w:r>
      <w:r w:rsidRPr="009B6FFE" w:rsidR="00DB236A">
        <w:t>s was 41</w:t>
      </w:r>
      <w:r w:rsidRPr="009B6FFE" w:rsidR="00FC5EEB">
        <w:t xml:space="preserve"> years</w:t>
      </w:r>
      <w:r w:rsidRPr="009B6FFE" w:rsidR="00DB236A">
        <w:t>, with</w:t>
      </w:r>
      <w:r w:rsidRPr="009B6FFE" w:rsidR="00620239">
        <w:t xml:space="preserve"> </w:t>
      </w:r>
      <w:r w:rsidRPr="009B6FFE" w:rsidR="00142B05">
        <w:t>6</w:t>
      </w:r>
      <w:r w:rsidRPr="009B6FFE" w:rsidR="004F68F7">
        <w:t>7</w:t>
      </w:r>
      <w:r w:rsidRPr="009B6FFE" w:rsidR="00142B05">
        <w:t xml:space="preserve">% </w:t>
      </w:r>
      <w:r w:rsidRPr="009B6FFE" w:rsidR="00DB236A">
        <w:t>between ages 25 and 54</w:t>
      </w:r>
      <w:r w:rsidRPr="009B6FFE" w:rsidR="00FC5EEB">
        <w:t xml:space="preserve"> years</w:t>
      </w:r>
      <w:r w:rsidRPr="009B6FFE" w:rsidR="0097524C">
        <w:t>.</w:t>
      </w:r>
      <w:r w:rsidR="003F1840">
        <w:t xml:space="preserve"> See Figure 1</w:t>
      </w:r>
      <w:r w:rsidR="001062BD">
        <w:t>.</w:t>
      </w:r>
    </w:p>
    <w:p w:rsidRPr="009B6FFE" w:rsidR="004A691F" w:rsidP="004A691F" w:rsidRDefault="00D3195C" w14:paraId="3D97BF4E" w14:textId="3F76BB75">
      <w:pPr>
        <w:pStyle w:val="ListParagraph"/>
        <w:numPr>
          <w:ilvl w:val="0"/>
          <w:numId w:val="4"/>
        </w:numPr>
      </w:pPr>
      <w:r>
        <w:rPr>
          <w:rStyle w:val="Heading2Char"/>
          <w:rFonts w:ascii="Cabin" w:hAnsi="Cabin"/>
          <w:b/>
          <w:bCs w:val="0"/>
        </w:rPr>
        <w:lastRenderedPageBreak/>
        <w:t>Marital Status and Dependents</w:t>
      </w:r>
      <w:r w:rsidRPr="009B6FFE" w:rsidR="00DB236A">
        <w:rPr>
          <w:b/>
          <w:bCs/>
        </w:rPr>
        <w:t>:</w:t>
      </w:r>
      <w:r w:rsidRPr="009B6FFE" w:rsidR="00DB236A">
        <w:t xml:space="preserve"> </w:t>
      </w:r>
      <w:r w:rsidRPr="009B6FFE" w:rsidR="00E421A0">
        <w:t>Fifty-seven percent</w:t>
      </w:r>
      <w:r w:rsidRPr="009B6FFE" w:rsidR="00620239">
        <w:t xml:space="preserve"> of </w:t>
      </w:r>
      <w:r w:rsidR="00B772EF">
        <w:t>farmworker</w:t>
      </w:r>
      <w:r w:rsidRPr="009B6FFE" w:rsidR="00620239">
        <w:t>s</w:t>
      </w:r>
      <w:r w:rsidRPr="009B6FFE" w:rsidR="00E421A0">
        <w:t xml:space="preserve"> were married and 50% were parents.</w:t>
      </w:r>
    </w:p>
    <w:p w:rsidRPr="009B6FFE" w:rsidR="004A691F" w:rsidP="004A691F" w:rsidRDefault="745ADA47" w14:paraId="54C776F9" w14:textId="150694B1">
      <w:pPr>
        <w:pStyle w:val="ListParagraph"/>
        <w:numPr>
          <w:ilvl w:val="0"/>
          <w:numId w:val="4"/>
        </w:numPr>
      </w:pPr>
      <w:r w:rsidRPr="009B6FFE">
        <w:rPr>
          <w:b/>
          <w:bCs/>
        </w:rPr>
        <w:t>Primary Language:</w:t>
      </w:r>
      <w:r w:rsidRPr="009B6FFE">
        <w:t xml:space="preserve"> Spanish and English were the primary languages of interviewed agricultural </w:t>
      </w:r>
      <w:r w:rsidR="00B772EF">
        <w:t>farmworker</w:t>
      </w:r>
      <w:r w:rsidRPr="009B6FFE">
        <w:t xml:space="preserve">s. Two-thirds (62%) of the interviewed </w:t>
      </w:r>
      <w:r w:rsidR="00B772EF">
        <w:t>farmworker</w:t>
      </w:r>
      <w:r w:rsidRPr="009B6FFE">
        <w:t xml:space="preserve">s preferred Spanish as their speaking language and 25% preferred English. One percent of </w:t>
      </w:r>
      <w:r w:rsidR="00B772EF">
        <w:t>farmworker</w:t>
      </w:r>
      <w:r w:rsidRPr="009B6FFE">
        <w:t xml:space="preserve">s preferred an Indigenous language. </w:t>
      </w:r>
    </w:p>
    <w:p w:rsidRPr="009B6FFE" w:rsidR="00B772EF" w:rsidP="00B772EF" w:rsidRDefault="3982EA17" w14:paraId="1682883D" w14:textId="7A648274">
      <w:pPr>
        <w:pStyle w:val="ListParagraph"/>
        <w:numPr>
          <w:ilvl w:val="0"/>
          <w:numId w:val="1"/>
        </w:numPr>
        <w:rPr>
          <w:rStyle w:val="Heading2Char"/>
          <w:rFonts w:ascii="Cabin" w:hAnsi="Cabin" w:eastAsiaTheme="minorEastAsia" w:cstheme="minorBidi"/>
          <w:b/>
        </w:rPr>
      </w:pPr>
      <w:r w:rsidRPr="0018039F">
        <w:rPr>
          <w:b/>
          <w:bCs/>
        </w:rPr>
        <w:t xml:space="preserve">Migratory </w:t>
      </w:r>
      <w:r w:rsidR="00D3195C">
        <w:rPr>
          <w:b/>
          <w:bCs/>
        </w:rPr>
        <w:t xml:space="preserve">Workers: </w:t>
      </w:r>
      <w:r w:rsidRPr="009B6FFE">
        <w:t xml:space="preserve">Fifteen percent of respondents were migratory as opposed to 85% reported as settled </w:t>
      </w:r>
      <w:r w:rsidR="00B772EF">
        <w:t>farmworker</w:t>
      </w:r>
      <w:r w:rsidRPr="009B6FFE">
        <w:t>s.</w:t>
      </w:r>
      <w:r w:rsidRPr="0044555C" w:rsidR="0018039F">
        <w:rPr>
          <w:rStyle w:val="FootnoteReference"/>
        </w:rPr>
        <w:footnoteReference w:id="4"/>
      </w:r>
      <w:r w:rsidR="00B772EF">
        <w:t xml:space="preserve"> </w:t>
      </w:r>
      <w:r w:rsidRPr="009B6FFE" w:rsidR="00B772EF">
        <w:rPr>
          <w:rStyle w:val="Heading2Char"/>
          <w:rFonts w:ascii="Cabin" w:hAnsi="Cabin" w:eastAsiaTheme="minorEastAsia" w:cstheme="minorBidi"/>
        </w:rPr>
        <w:t xml:space="preserve">Of those migratory </w:t>
      </w:r>
      <w:r w:rsidR="00B772EF">
        <w:rPr>
          <w:rStyle w:val="Heading2Char"/>
          <w:rFonts w:ascii="Cabin" w:hAnsi="Cabin" w:eastAsiaTheme="minorEastAsia" w:cstheme="minorBidi"/>
        </w:rPr>
        <w:t>farmworker</w:t>
      </w:r>
      <w:r w:rsidRPr="009B6FFE" w:rsidR="00B772EF">
        <w:rPr>
          <w:rStyle w:val="Heading2Char"/>
          <w:rFonts w:ascii="Cabin" w:hAnsi="Cabin" w:eastAsiaTheme="minorEastAsia" w:cstheme="minorBidi"/>
        </w:rPr>
        <w:t>s, nearly half were domestic (46%), 48% were international, and 6% had been in the U.S. less than a year.</w:t>
      </w:r>
    </w:p>
    <w:p w:rsidRPr="009B6FFE" w:rsidR="004A691F" w:rsidP="006B6F4D" w:rsidRDefault="004A691F" w14:paraId="38D77E09" w14:textId="28B150DF">
      <w:pPr>
        <w:pStyle w:val="ListParagraph"/>
        <w:numPr>
          <w:ilvl w:val="0"/>
          <w:numId w:val="4"/>
        </w:numPr>
        <w:sectPr w:rsidRPr="009B6FFE" w:rsidR="004A691F" w:rsidSect="00620239">
          <w:type w:val="continuous"/>
          <w:pgSz w:w="12240" w:h="15840" w:orient="portrait"/>
          <w:pgMar w:top="1440" w:right="1080" w:bottom="1440" w:left="1080" w:header="720" w:footer="720" w:gutter="0"/>
          <w:cols w:space="720"/>
          <w:docGrid w:linePitch="360"/>
        </w:sectPr>
      </w:pPr>
    </w:p>
    <w:p w:rsidRPr="009B6FFE" w:rsidR="00E00E1A" w:rsidP="00E00E1A" w:rsidRDefault="00E00E1A" w14:paraId="28B89A3D" w14:textId="77777777">
      <w:pPr>
        <w:pStyle w:val="Caption"/>
        <w:keepNext/>
      </w:pPr>
    </w:p>
    <w:p w:rsidRPr="009B6FFE" w:rsidR="00E00E1A" w:rsidP="00E00E1A" w:rsidRDefault="00E00E1A" w14:paraId="38CA54C1" w14:textId="40E15E2A">
      <w:pPr>
        <w:pStyle w:val="Caption"/>
        <w:keepNext/>
      </w:pPr>
      <w:r w:rsidRPr="009B6FFE">
        <w:t xml:space="preserve">Figure </w:t>
      </w:r>
      <w:r w:rsidRPr="009B6FFE">
        <w:fldChar w:fldCharType="begin"/>
      </w:r>
      <w:r w:rsidRPr="009B6FFE">
        <w:instrText>SEQ Figure \* ARABIC</w:instrText>
      </w:r>
      <w:r w:rsidRPr="009B6FFE">
        <w:fldChar w:fldCharType="separate"/>
      </w:r>
      <w:r w:rsidRPr="009B6FFE" w:rsidR="00967F17">
        <w:rPr>
          <w:noProof/>
        </w:rPr>
        <w:t>1</w:t>
      </w:r>
      <w:r w:rsidRPr="009B6FFE">
        <w:fldChar w:fldCharType="end"/>
      </w:r>
      <w:r w:rsidRPr="009B6FFE">
        <w:t xml:space="preserve">: Age Distribution of </w:t>
      </w:r>
      <w:r w:rsidR="00B772EF">
        <w:t>Farmworkers</w:t>
      </w:r>
      <w:r w:rsidRPr="009B6FFE">
        <w:t>, 201</w:t>
      </w:r>
      <w:r w:rsidRPr="009B6FFE" w:rsidR="004F68F7">
        <w:t>8-2020</w:t>
      </w:r>
    </w:p>
    <w:p w:rsidRPr="009B6FFE" w:rsidR="00620239" w:rsidP="00527056" w:rsidRDefault="004E3300" w14:paraId="745FF20A" w14:textId="4D01EFEC">
      <w:pPr>
        <w:pStyle w:val="Heading1"/>
        <w:jc w:val="center"/>
        <w:sectPr w:rsidRPr="009B6FFE" w:rsidR="00620239" w:rsidSect="00620239">
          <w:type w:val="continuous"/>
          <w:pgSz w:w="12240" w:h="15840" w:orient="portrait"/>
          <w:pgMar w:top="1440" w:right="1080" w:bottom="1440" w:left="1080" w:header="720" w:footer="720" w:gutter="0"/>
          <w:cols w:space="720"/>
          <w:docGrid w:linePitch="360"/>
        </w:sectPr>
      </w:pPr>
      <w:r w:rsidRPr="009B6FFE">
        <w:rPr>
          <w:noProof/>
        </w:rPr>
        <w:drawing>
          <wp:inline distT="0" distB="0" distL="0" distR="0" wp14:anchorId="2B8E13F8" wp14:editId="5B85BC3F">
            <wp:extent cx="5905500" cy="26860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9B6FFE" w:rsidR="00DD3588" w:rsidP="0097524C" w:rsidRDefault="00DD3588" w14:paraId="5BE868E8" w14:textId="77777777"/>
    <w:p w:rsidRPr="009B6FFE" w:rsidR="00DD3588" w:rsidP="0097524C" w:rsidRDefault="00733F96" w14:paraId="4BE6077A" w14:textId="210C4E47">
      <w:pPr>
        <w:pStyle w:val="Heading1"/>
      </w:pPr>
      <w:r w:rsidRPr="009B6FFE">
        <w:t>EMPLOYMENT AND HOUSING</w:t>
      </w:r>
    </w:p>
    <w:p w:rsidRPr="009B6FFE" w:rsidR="000C2CA0" w:rsidP="00BA47D0" w:rsidRDefault="7C0F8CAD" w14:paraId="0B341EB6" w14:textId="013882ED">
      <w:pPr>
        <w:pStyle w:val="ListParagraph"/>
        <w:numPr>
          <w:ilvl w:val="0"/>
          <w:numId w:val="1"/>
        </w:numPr>
      </w:pPr>
      <w:r w:rsidRPr="009B6FFE">
        <w:rPr>
          <w:b/>
          <w:bCs/>
        </w:rPr>
        <w:t>Housing:</w:t>
      </w:r>
      <w:r w:rsidRPr="009B6FFE">
        <w:t xml:space="preserve"> Thirty percent of </w:t>
      </w:r>
      <w:r w:rsidR="00B772EF">
        <w:t>farmworker</w:t>
      </w:r>
      <w:r w:rsidRPr="009B6FFE">
        <w:t>s responded they lived in a “crowded” dwelling, using the U.S. Census Bureau, Census of Housing definition of overcrowding.</w:t>
      </w:r>
      <w:r w:rsidRPr="0044555C" w:rsidR="00C00AE0">
        <w:rPr>
          <w:rStyle w:val="FootnoteReference"/>
        </w:rPr>
        <w:footnoteReference w:id="5"/>
      </w:r>
      <w:r w:rsidRPr="009B6FFE">
        <w:t xml:space="preserve"> Sixteen percent of respondents lived in employer-provided housing while 53% rented, 31% owned their home or lived in a relative’s owned home, and 1% lived in government housing.</w:t>
      </w:r>
      <w:r w:rsidR="00C00AE0">
        <w:t xml:space="preserve"> Out of the 2,172 </w:t>
      </w:r>
      <w:r w:rsidR="00B772EF">
        <w:t>farmworker</w:t>
      </w:r>
      <w:r w:rsidR="00C00AE0">
        <w:t xml:space="preserve">s surveyed, 99 expressed that they themselves pay for housing, while 274 receive free housing from their employer. Thirty agricultural </w:t>
      </w:r>
      <w:r w:rsidR="00B772EF">
        <w:t>farmworker</w:t>
      </w:r>
      <w:r w:rsidR="00C00AE0">
        <w:t>s reported having housing paid for by the government, charity, or another organization.</w:t>
      </w:r>
    </w:p>
    <w:p w:rsidR="00DD3588" w:rsidP="00BA47D0" w:rsidRDefault="199A09F8" w14:paraId="2E540024" w14:textId="3A9EBA1B">
      <w:pPr>
        <w:pStyle w:val="ListParagraph"/>
        <w:numPr>
          <w:ilvl w:val="0"/>
          <w:numId w:val="1"/>
        </w:numPr>
      </w:pPr>
      <w:r w:rsidRPr="009B6FFE">
        <w:rPr>
          <w:rStyle w:val="Heading2Char"/>
          <w:rFonts w:ascii="Cabin" w:hAnsi="Cabin"/>
          <w:b/>
        </w:rPr>
        <w:t>Work type:</w:t>
      </w:r>
      <w:r w:rsidRPr="009B6FFE">
        <w:t xml:space="preserve"> Eighty-two percent of respondents worked in fruits and nuts (38%), vegetables (20%), and horticultural crops (24%), 14% worked in field crops, and 3% in mixed crops or other crops. Eighty-eight percent of respondents were directly hired </w:t>
      </w:r>
      <w:r w:rsidR="00B772EF">
        <w:t>farmworker</w:t>
      </w:r>
      <w:r w:rsidRPr="009B6FFE">
        <w:t>s and 12% were contracted laborers.</w:t>
      </w:r>
    </w:p>
    <w:p w:rsidRPr="009B6FFE" w:rsidR="00FF1144" w:rsidP="00D3195C" w:rsidRDefault="004967A7" w14:paraId="12525BC8" w14:textId="24472A8D">
      <w:pPr>
        <w:pStyle w:val="ListParagraph"/>
      </w:pPr>
      <w:r>
        <w:t xml:space="preserve"> </w:t>
      </w:r>
    </w:p>
    <w:p w:rsidRPr="009B6FFE" w:rsidR="00544F50" w:rsidP="00E00E1A" w:rsidRDefault="723E4733" w14:paraId="3AF073BD" w14:textId="7596C7C5">
      <w:pPr>
        <w:pStyle w:val="ListParagraph"/>
        <w:numPr>
          <w:ilvl w:val="0"/>
          <w:numId w:val="1"/>
        </w:numPr>
      </w:pPr>
      <w:r w:rsidRPr="009B6FFE">
        <w:rPr>
          <w:rStyle w:val="Heading2Char"/>
          <w:rFonts w:ascii="Cabin" w:hAnsi="Cabin"/>
          <w:b/>
        </w:rPr>
        <w:lastRenderedPageBreak/>
        <w:t>Wages, Income, and assets:</w:t>
      </w:r>
      <w:r w:rsidRPr="009B6FFE">
        <w:t xml:space="preserve"> From 2019-2020, 50% of agricultural </w:t>
      </w:r>
      <w:r w:rsidR="00B772EF">
        <w:t>farmworker</w:t>
      </w:r>
      <w:r w:rsidRPr="009B6FFE">
        <w:t xml:space="preserve">s reported an annual total family income of less than $30,000, and 20% had family incomes below the poverty level in the previous year. Migratory agricultural </w:t>
      </w:r>
      <w:r w:rsidR="00B772EF">
        <w:t>farmworker</w:t>
      </w:r>
      <w:r w:rsidRPr="009B6FFE">
        <w:t xml:space="preserve"> families were most likely to live in poverty with 44% reporting incomes below poverty level from 2019-2020 compared to 16% of settled </w:t>
      </w:r>
      <w:r w:rsidR="009510C1">
        <w:t xml:space="preserve">Agricultural </w:t>
      </w:r>
      <w:r w:rsidR="00B772EF">
        <w:t>farmworker</w:t>
      </w:r>
      <w:r w:rsidRPr="009B6FFE">
        <w:t>s. The average hourly income reported was $13.59.</w:t>
      </w:r>
      <w:r w:rsidRPr="0044555C" w:rsidR="00A33EC4">
        <w:rPr>
          <w:rStyle w:val="FootnoteReference"/>
        </w:rPr>
        <w:footnoteReference w:id="6"/>
      </w:r>
    </w:p>
    <w:p w:rsidRPr="009B6FFE" w:rsidR="00A267D3" w:rsidP="00A267D3" w:rsidRDefault="00A267D3" w14:paraId="056CB2B9" w14:textId="3131C6D6">
      <w:pPr>
        <w:pStyle w:val="ListParagraph"/>
        <w:numPr>
          <w:ilvl w:val="0"/>
          <w:numId w:val="1"/>
        </w:numPr>
      </w:pPr>
      <w:r w:rsidRPr="009B6FFE">
        <w:rPr>
          <w:rStyle w:val="Heading2Char"/>
          <w:rFonts w:ascii="Cabin" w:hAnsi="Cabin"/>
          <w:b/>
        </w:rPr>
        <w:t>Working hours:</w:t>
      </w:r>
      <w:r w:rsidRPr="009B6FFE">
        <w:rPr>
          <w:b/>
          <w:bCs/>
        </w:rPr>
        <w:t xml:space="preserve"> </w:t>
      </w:r>
      <w:r w:rsidRPr="009B6FFE">
        <w:t xml:space="preserve">Forty-two percent of </w:t>
      </w:r>
      <w:r w:rsidR="00B772EF">
        <w:t>farmworker</w:t>
      </w:r>
      <w:r w:rsidRPr="009B6FFE">
        <w:t xml:space="preserve">s reported working more than eight hours a day. See </w:t>
      </w:r>
      <w:r w:rsidR="0018039F">
        <w:t>F</w:t>
      </w:r>
      <w:r w:rsidRPr="009B6FFE">
        <w:t>igure 2 below</w:t>
      </w:r>
    </w:p>
    <w:p w:rsidRPr="009B6FFE" w:rsidR="00C44876" w:rsidP="00C44876" w:rsidRDefault="00C44876" w14:paraId="2CF7F919" w14:textId="4EFECF78">
      <w:pPr>
        <w:pStyle w:val="ListParagraph"/>
      </w:pPr>
    </w:p>
    <w:p w:rsidRPr="009B6FFE" w:rsidR="00A267D3" w:rsidP="00A267D3" w:rsidRDefault="18118333" w14:paraId="564B987F" w14:textId="3AB3D8B9">
      <w:pPr>
        <w:pStyle w:val="Caption"/>
        <w:keepNext/>
      </w:pPr>
      <w:r>
        <w:t xml:space="preserve">Figure </w:t>
      </w:r>
      <w:r w:rsidR="00A267D3">
        <w:fldChar w:fldCharType="begin"/>
      </w:r>
      <w:r w:rsidR="00A267D3">
        <w:instrText>SEQ Figure \* ARABIC</w:instrText>
      </w:r>
      <w:r w:rsidR="00A267D3">
        <w:fldChar w:fldCharType="separate"/>
      </w:r>
      <w:r w:rsidRPr="18118333">
        <w:rPr>
          <w:noProof/>
        </w:rPr>
        <w:t>2</w:t>
      </w:r>
      <w:r w:rsidR="00A267D3">
        <w:fldChar w:fldCharType="end"/>
      </w:r>
      <w:r>
        <w:t xml:space="preserve">: Percentage of </w:t>
      </w:r>
      <w:r w:rsidR="00B772EF">
        <w:t>Farmworker</w:t>
      </w:r>
      <w:r>
        <w:t>s by Daily Work Hours, 2013-2020</w:t>
      </w:r>
    </w:p>
    <w:p w:rsidRPr="009B6FFE" w:rsidR="00A267D3" w:rsidP="00A267D3" w:rsidRDefault="00A267D3" w14:paraId="2D262E95" w14:textId="77777777"/>
    <w:p w:rsidRPr="009B6FFE" w:rsidR="00A267D3" w:rsidP="00A267D3" w:rsidRDefault="00A267D3" w14:paraId="2CD5D9EE" w14:textId="77777777">
      <w:pPr>
        <w:pStyle w:val="ListParagraph"/>
      </w:pPr>
      <w:r w:rsidRPr="009B6FFE">
        <w:rPr>
          <w:noProof/>
          <w:color w:val="FFFFFF" w:themeColor="background1"/>
        </w:rPr>
        <w:drawing>
          <wp:inline distT="0" distB="0" distL="0" distR="0" wp14:anchorId="23164419" wp14:editId="3F7BF764">
            <wp:extent cx="6112042" cy="2646947"/>
            <wp:effectExtent l="0" t="0" r="317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9B6FFE" w:rsidR="00957D34" w:rsidP="00A267D3" w:rsidRDefault="00957D34" w14:paraId="206A000B" w14:textId="7ECD10D1"/>
    <w:p w:rsidRPr="009B6FFE" w:rsidR="00A267D3" w:rsidP="00A267D3" w:rsidRDefault="00A267D3" w14:paraId="67281CC1" w14:textId="6FA38ECD">
      <w:r w:rsidRPr="009B6FFE">
        <w:t xml:space="preserve">Table 1 provides data about employment statistics of agricultural </w:t>
      </w:r>
      <w:r w:rsidR="00B772EF">
        <w:t>farmworker</w:t>
      </w:r>
      <w:r w:rsidRPr="009B6FFE">
        <w:t>s.</w:t>
      </w:r>
    </w:p>
    <w:p w:rsidRPr="009B6FFE" w:rsidR="00A267D3" w:rsidP="00A267D3" w:rsidRDefault="00A267D3" w14:paraId="0A1C73E4" w14:textId="3DE2C412">
      <w:pPr>
        <w:pStyle w:val="Heading3"/>
        <w:rPr>
          <w:rFonts w:ascii="Cabin" w:hAnsi="Cabin"/>
        </w:rPr>
      </w:pPr>
      <w:r w:rsidRPr="009B6FFE">
        <w:rPr>
          <w:rFonts w:ascii="Cabin" w:hAnsi="Cabin"/>
        </w:rPr>
        <w:t xml:space="preserve">Table 1: Employment Statistics of Ag </w:t>
      </w:r>
      <w:r w:rsidR="00B772EF">
        <w:rPr>
          <w:rFonts w:ascii="Cabin" w:hAnsi="Cabin"/>
        </w:rPr>
        <w:t>Farmworker</w:t>
      </w:r>
      <w:r w:rsidRPr="009B6FFE">
        <w:rPr>
          <w:rFonts w:ascii="Cabin" w:hAnsi="Cabin"/>
        </w:rPr>
        <w:t>s, 2019-2020</w:t>
      </w:r>
    </w:p>
    <w:p w:rsidRPr="009B6FFE" w:rsidR="00957D34" w:rsidP="00C44876" w:rsidRDefault="00957D34" w14:paraId="02011AC6" w14:textId="77777777">
      <w:pPr>
        <w:pStyle w:val="ListParagraph"/>
      </w:pPr>
    </w:p>
    <w:tbl>
      <w:tblPr>
        <w:tblW w:w="10345" w:type="dxa"/>
        <w:jc w:val="center"/>
        <w:tblLook w:val="04A0" w:firstRow="1" w:lastRow="0" w:firstColumn="1" w:lastColumn="0" w:noHBand="0" w:noVBand="1"/>
      </w:tblPr>
      <w:tblGrid>
        <w:gridCol w:w="8751"/>
        <w:gridCol w:w="1594"/>
      </w:tblGrid>
      <w:tr w:rsidRPr="009B6FFE" w:rsidR="00CB6A41" w:rsidTr="5FE1D6EA" w14:paraId="3FB6CF37"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4F81BD"/>
            <w:noWrap/>
            <w:vAlign w:val="bottom"/>
            <w:hideMark/>
          </w:tcPr>
          <w:p w:rsidRPr="009B6FFE" w:rsidR="00CB6A41" w:rsidP="00CB6A41" w:rsidRDefault="00CB6A41" w14:paraId="7E0C8EBB" w14:textId="77777777">
            <w:pPr>
              <w:rPr>
                <w:rFonts w:eastAsia="Times New Roman" w:cs="Calibri"/>
                <w:b/>
                <w:bCs/>
                <w:color w:val="FFFFFF"/>
              </w:rPr>
            </w:pPr>
            <w:r w:rsidRPr="009B6FFE">
              <w:rPr>
                <w:rFonts w:eastAsia="Times New Roman" w:cs="Calibri"/>
                <w:b/>
                <w:bCs/>
                <w:color w:val="FFFFFF"/>
              </w:rPr>
              <w:t>Characteristic</w:t>
            </w:r>
          </w:p>
        </w:tc>
        <w:tc>
          <w:tcPr>
            <w:tcW w:w="1594" w:type="dxa"/>
            <w:tcBorders>
              <w:top w:val="single" w:color="95B3D7" w:sz="4" w:space="0"/>
              <w:left w:val="nil"/>
              <w:bottom w:val="single" w:color="95B3D7" w:sz="4" w:space="0"/>
              <w:right w:val="single" w:color="95B3D7" w:sz="4" w:space="0"/>
            </w:tcBorders>
            <w:shd w:val="clear" w:color="auto" w:fill="4F81BD"/>
            <w:noWrap/>
            <w:vAlign w:val="bottom"/>
            <w:hideMark/>
          </w:tcPr>
          <w:p w:rsidRPr="009B6FFE" w:rsidR="00CB6A41" w:rsidP="00CB6A41" w:rsidRDefault="00CB6A41" w14:paraId="42CCA3DB" w14:textId="77777777">
            <w:pPr>
              <w:rPr>
                <w:rFonts w:eastAsia="Times New Roman" w:cs="Calibri"/>
                <w:b/>
                <w:bCs/>
                <w:color w:val="FFFFFF"/>
              </w:rPr>
            </w:pPr>
            <w:r w:rsidRPr="009B6FFE">
              <w:rPr>
                <w:rFonts w:eastAsia="Times New Roman" w:cs="Calibri"/>
                <w:b/>
                <w:bCs/>
                <w:color w:val="FFFFFF"/>
              </w:rPr>
              <w:t>Percent of respondents</w:t>
            </w:r>
          </w:p>
        </w:tc>
      </w:tr>
      <w:tr w:rsidRPr="009B6FFE" w:rsidR="00CB6A41" w:rsidTr="5FE1D6EA" w14:paraId="24633C3A"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631DDE9A" w14:paraId="2DC9D8A4" w14:textId="77777777">
            <w:pPr>
              <w:rPr>
                <w:rFonts w:eastAsia="Times New Roman" w:cs="Calibri"/>
                <w:color w:val="000000"/>
              </w:rPr>
            </w:pPr>
            <w:r w:rsidRPr="009B6FFE">
              <w:rPr>
                <w:rFonts w:eastAsia="Times New Roman" w:cs="Calibri"/>
                <w:color w:val="000000" w:themeColor="text1"/>
              </w:rPr>
              <w:t>Average number of years of U.S. farm work experience</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3388DBC1" w14:textId="77777777">
            <w:pPr>
              <w:rPr>
                <w:rFonts w:eastAsia="Times New Roman" w:cs="Calibri"/>
                <w:color w:val="000000"/>
              </w:rPr>
            </w:pPr>
            <w:r w:rsidRPr="009B6FFE">
              <w:rPr>
                <w:rFonts w:eastAsia="Times New Roman" w:cs="Calibri"/>
                <w:color w:val="000000"/>
              </w:rPr>
              <w:t>17</w:t>
            </w:r>
          </w:p>
        </w:tc>
      </w:tr>
      <w:tr w:rsidRPr="009B6FFE" w:rsidR="00CB6A41" w:rsidTr="5FE1D6EA" w14:paraId="6E8FD876"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CB6A41" w14:paraId="3CA8D53F" w14:textId="77777777">
            <w:pPr>
              <w:rPr>
                <w:rFonts w:eastAsia="Times New Roman" w:cs="Calibri"/>
                <w:color w:val="000000"/>
              </w:rPr>
            </w:pPr>
            <w:r w:rsidRPr="009B6FFE">
              <w:rPr>
                <w:rFonts w:eastAsia="Times New Roman" w:cs="Calibri"/>
                <w:color w:val="000000"/>
              </w:rPr>
              <w:t>Years of U.S. farm work experience: 21 or more</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3409946D" w14:textId="77777777">
            <w:pPr>
              <w:rPr>
                <w:rFonts w:eastAsia="Times New Roman" w:cs="Calibri"/>
                <w:color w:val="000000"/>
              </w:rPr>
            </w:pPr>
            <w:r w:rsidRPr="009B6FFE">
              <w:rPr>
                <w:rFonts w:eastAsia="Times New Roman" w:cs="Calibri"/>
                <w:color w:val="000000"/>
              </w:rPr>
              <w:t>31%</w:t>
            </w:r>
          </w:p>
        </w:tc>
      </w:tr>
      <w:tr w:rsidRPr="009B6FFE" w:rsidR="00CB6A41" w:rsidTr="5FE1D6EA" w14:paraId="1C1E8729"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CB6A41" w14:paraId="45E4133B" w14:textId="77777777">
            <w:pPr>
              <w:rPr>
                <w:rFonts w:eastAsia="Times New Roman" w:cs="Calibri"/>
                <w:color w:val="000000"/>
              </w:rPr>
            </w:pPr>
            <w:r w:rsidRPr="009B6FFE">
              <w:rPr>
                <w:rFonts w:eastAsia="Times New Roman" w:cs="Calibri"/>
                <w:color w:val="000000"/>
              </w:rPr>
              <w:t>Average number of hours worked per week at current farm job</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59C2AAC7" w14:textId="77777777">
            <w:pPr>
              <w:rPr>
                <w:rFonts w:eastAsia="Times New Roman" w:cs="Calibri"/>
                <w:color w:val="000000"/>
              </w:rPr>
            </w:pPr>
            <w:r w:rsidRPr="009B6FFE">
              <w:rPr>
                <w:rFonts w:eastAsia="Times New Roman" w:cs="Calibri"/>
                <w:color w:val="000000"/>
              </w:rPr>
              <w:t>46</w:t>
            </w:r>
          </w:p>
        </w:tc>
      </w:tr>
      <w:tr w:rsidRPr="009B6FFE" w:rsidR="00CB6A41" w:rsidTr="5FE1D6EA" w14:paraId="3280559D"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CB6A41" w14:paraId="238030F7" w14:textId="77777777">
            <w:pPr>
              <w:rPr>
                <w:rFonts w:eastAsia="Times New Roman" w:cs="Calibri"/>
                <w:color w:val="000000"/>
              </w:rPr>
            </w:pPr>
            <w:r w:rsidRPr="009B6FFE">
              <w:rPr>
                <w:rFonts w:eastAsia="Times New Roman" w:cs="Calibri"/>
                <w:color w:val="000000"/>
              </w:rPr>
              <w:t>Number of days worked per week at current farm job: 1-5 days</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07E3354C" w14:textId="77777777">
            <w:pPr>
              <w:rPr>
                <w:rFonts w:eastAsia="Times New Roman" w:cs="Calibri"/>
                <w:color w:val="000000"/>
              </w:rPr>
            </w:pPr>
            <w:r w:rsidRPr="009B6FFE">
              <w:rPr>
                <w:rFonts w:eastAsia="Times New Roman" w:cs="Calibri"/>
                <w:color w:val="000000"/>
              </w:rPr>
              <w:t>55%</w:t>
            </w:r>
          </w:p>
        </w:tc>
      </w:tr>
      <w:tr w:rsidRPr="009B6FFE" w:rsidR="00CB6A41" w:rsidTr="5FE1D6EA" w14:paraId="4CCBCD57"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CB6A41" w14:paraId="006139F0" w14:textId="77777777">
            <w:pPr>
              <w:rPr>
                <w:rFonts w:eastAsia="Times New Roman" w:cs="Calibri"/>
                <w:color w:val="000000"/>
              </w:rPr>
            </w:pPr>
            <w:r w:rsidRPr="009B6FFE">
              <w:rPr>
                <w:rFonts w:eastAsia="Times New Roman" w:cs="Calibri"/>
                <w:color w:val="000000"/>
              </w:rPr>
              <w:t>Number of days worked per week at current farm job: 6-7 days</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2CF84DC2" w14:textId="77777777">
            <w:pPr>
              <w:rPr>
                <w:rFonts w:eastAsia="Times New Roman" w:cs="Calibri"/>
                <w:color w:val="000000"/>
              </w:rPr>
            </w:pPr>
            <w:r w:rsidRPr="009B6FFE">
              <w:rPr>
                <w:rFonts w:eastAsia="Times New Roman" w:cs="Calibri"/>
                <w:color w:val="000000"/>
              </w:rPr>
              <w:t>45%</w:t>
            </w:r>
          </w:p>
        </w:tc>
      </w:tr>
      <w:tr w:rsidRPr="009B6FFE" w:rsidR="00CB6A41" w:rsidTr="5FE1D6EA" w14:paraId="799E47F1"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AC0D02" w14:paraId="76DD0DAD" w14:textId="52D6256D">
            <w:pPr>
              <w:rPr>
                <w:rFonts w:eastAsia="Times New Roman" w:cs="Calibri"/>
                <w:color w:val="000000"/>
              </w:rPr>
            </w:pPr>
            <w:r>
              <w:rPr>
                <w:rFonts w:eastAsia="Times New Roman" w:cs="Calibri"/>
                <w:color w:val="000000"/>
              </w:rPr>
              <w:t>Employer</w:t>
            </w:r>
            <w:r w:rsidRPr="009B6FFE" w:rsidR="00CB6A41">
              <w:rPr>
                <w:rFonts w:eastAsia="Times New Roman" w:cs="Calibri"/>
                <w:color w:val="000000"/>
              </w:rPr>
              <w:t xml:space="preserve"> </w:t>
            </w:r>
            <w:r w:rsidRPr="00AC0D02">
              <w:rPr>
                <w:rFonts w:eastAsia="Times New Roman" w:cs="Calibri"/>
                <w:b/>
                <w:bCs/>
                <w:color w:val="000000"/>
              </w:rPr>
              <w:t>does not</w:t>
            </w:r>
            <w:r>
              <w:rPr>
                <w:rFonts w:eastAsia="Times New Roman" w:cs="Calibri"/>
                <w:color w:val="000000"/>
              </w:rPr>
              <w:t xml:space="preserve"> </w:t>
            </w:r>
            <w:r w:rsidRPr="009B6FFE" w:rsidR="00CB6A41">
              <w:rPr>
                <w:rFonts w:eastAsia="Times New Roman" w:cs="Calibri"/>
                <w:color w:val="000000"/>
              </w:rPr>
              <w:t xml:space="preserve">provide health insurance or pays for health care for a non-work-related injury or </w:t>
            </w:r>
            <w:r>
              <w:rPr>
                <w:rFonts w:eastAsia="Times New Roman" w:cs="Calibri"/>
                <w:color w:val="000000"/>
              </w:rPr>
              <w:t>illness.</w:t>
            </w:r>
            <w:r w:rsidRPr="0044555C">
              <w:rPr>
                <w:rStyle w:val="FootnoteReference"/>
              </w:rPr>
              <w:footnoteReference w:id="7"/>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1962AD47" w14:textId="77777777">
            <w:pPr>
              <w:rPr>
                <w:rFonts w:eastAsia="Times New Roman" w:cs="Calibri"/>
                <w:color w:val="000000"/>
              </w:rPr>
            </w:pPr>
            <w:r w:rsidRPr="009B6FFE">
              <w:rPr>
                <w:rFonts w:eastAsia="Times New Roman" w:cs="Calibri"/>
                <w:color w:val="000000"/>
              </w:rPr>
              <w:t>61%</w:t>
            </w:r>
          </w:p>
        </w:tc>
      </w:tr>
      <w:tr w:rsidRPr="009B6FFE" w:rsidR="00CB6A41" w:rsidTr="5FE1D6EA" w14:paraId="6311D4C3"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AC0D02" w14:paraId="483AEFDF" w14:textId="61378570">
            <w:pPr>
              <w:rPr>
                <w:rFonts w:eastAsia="Times New Roman" w:cs="Calibri"/>
                <w:color w:val="000000"/>
              </w:rPr>
            </w:pPr>
            <w:r>
              <w:rPr>
                <w:rFonts w:eastAsia="Times New Roman" w:cs="Calibri"/>
                <w:color w:val="000000"/>
              </w:rPr>
              <w:t>E</w:t>
            </w:r>
            <w:r w:rsidRPr="009B6FFE" w:rsidR="00CB6A41">
              <w:rPr>
                <w:rFonts w:eastAsia="Times New Roman" w:cs="Calibri"/>
                <w:color w:val="000000"/>
              </w:rPr>
              <w:t>mployer provides health insurance or pays for health care for a non-work-related injury or illness</w:t>
            </w:r>
            <w:r>
              <w:rPr>
                <w:rFonts w:eastAsia="Times New Roman" w:cs="Calibri"/>
                <w:color w:val="000000"/>
              </w:rPr>
              <w:t>.</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181119A7" w14:textId="77777777">
            <w:pPr>
              <w:rPr>
                <w:rFonts w:eastAsia="Times New Roman" w:cs="Calibri"/>
                <w:color w:val="000000"/>
              </w:rPr>
            </w:pPr>
            <w:r w:rsidRPr="009B6FFE">
              <w:rPr>
                <w:rFonts w:eastAsia="Times New Roman" w:cs="Calibri"/>
                <w:color w:val="000000"/>
              </w:rPr>
              <w:t>28%</w:t>
            </w:r>
          </w:p>
        </w:tc>
      </w:tr>
      <w:tr w:rsidRPr="009B6FFE" w:rsidR="00CB6A41" w:rsidTr="5FE1D6EA" w14:paraId="7A2B9E71"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AC0D02" w14:paraId="0C756795" w14:textId="752E2542">
            <w:pPr>
              <w:rPr>
                <w:rFonts w:eastAsia="Times New Roman" w:cs="Calibri"/>
                <w:color w:val="000000"/>
              </w:rPr>
            </w:pPr>
            <w:r>
              <w:rPr>
                <w:rFonts w:eastAsia="Times New Roman" w:cs="Calibri"/>
                <w:color w:val="000000"/>
              </w:rPr>
              <w:lastRenderedPageBreak/>
              <w:t>E</w:t>
            </w:r>
            <w:r w:rsidRPr="009B6FFE" w:rsidR="00CB6A41">
              <w:rPr>
                <w:rFonts w:eastAsia="Times New Roman" w:cs="Calibri"/>
                <w:color w:val="000000"/>
              </w:rPr>
              <w:t xml:space="preserve">mployer </w:t>
            </w:r>
            <w:r w:rsidRPr="00AC0D02">
              <w:rPr>
                <w:rFonts w:eastAsia="Times New Roman" w:cs="Calibri"/>
                <w:b/>
                <w:bCs/>
                <w:color w:val="000000"/>
              </w:rPr>
              <w:t>does not</w:t>
            </w:r>
            <w:r>
              <w:rPr>
                <w:rFonts w:eastAsia="Times New Roman" w:cs="Calibri"/>
                <w:color w:val="000000"/>
              </w:rPr>
              <w:t xml:space="preserve"> </w:t>
            </w:r>
            <w:r w:rsidRPr="009B6FFE" w:rsidR="00CB6A41">
              <w:rPr>
                <w:rFonts w:eastAsia="Times New Roman" w:cs="Calibri"/>
                <w:color w:val="000000"/>
              </w:rPr>
              <w:t>provide</w:t>
            </w:r>
            <w:r>
              <w:rPr>
                <w:rFonts w:eastAsia="Times New Roman" w:cs="Calibri"/>
                <w:color w:val="000000"/>
              </w:rPr>
              <w:t xml:space="preserve"> </w:t>
            </w:r>
            <w:r w:rsidRPr="009B6FFE" w:rsidR="00CB6A41">
              <w:rPr>
                <w:rFonts w:eastAsia="Times New Roman" w:cs="Calibri"/>
                <w:color w:val="000000"/>
              </w:rPr>
              <w:t>health insurance or pays for health care for a work-related injury or illness</w:t>
            </w:r>
            <w:r>
              <w:rPr>
                <w:rFonts w:eastAsia="Times New Roman" w:cs="Calibri"/>
                <w:color w:val="000000"/>
              </w:rPr>
              <w:t>.</w:t>
            </w:r>
            <w:r w:rsidRPr="0044555C">
              <w:rPr>
                <w:rStyle w:val="FootnoteReference"/>
              </w:rPr>
              <w:footnoteReference w:id="8"/>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0F13803F" w14:textId="77777777">
            <w:pPr>
              <w:rPr>
                <w:rFonts w:eastAsia="Times New Roman" w:cs="Calibri"/>
                <w:color w:val="000000"/>
              </w:rPr>
            </w:pPr>
            <w:r w:rsidRPr="009B6FFE">
              <w:rPr>
                <w:rFonts w:eastAsia="Times New Roman" w:cs="Calibri"/>
                <w:color w:val="000000"/>
              </w:rPr>
              <w:t>12%</w:t>
            </w:r>
          </w:p>
        </w:tc>
      </w:tr>
      <w:tr w:rsidRPr="009B6FFE" w:rsidR="00CB6A41" w:rsidTr="5FE1D6EA" w14:paraId="218D3959" w14:textId="77777777">
        <w:trPr>
          <w:trHeight w:val="300"/>
          <w:jc w:val="center"/>
        </w:trPr>
        <w:tc>
          <w:tcPr>
            <w:tcW w:w="8751" w:type="dxa"/>
            <w:tcBorders>
              <w:top w:val="single" w:color="95B3D7" w:sz="4" w:space="0"/>
              <w:left w:val="single" w:color="95B3D7" w:sz="4" w:space="0"/>
              <w:bottom w:val="single" w:color="95B3D7" w:sz="4" w:space="0"/>
              <w:right w:val="nil"/>
            </w:tcBorders>
            <w:shd w:val="clear" w:color="auto" w:fill="FFFFFF" w:themeFill="background1"/>
            <w:noWrap/>
            <w:vAlign w:val="bottom"/>
            <w:hideMark/>
          </w:tcPr>
          <w:p w:rsidRPr="009B6FFE" w:rsidR="00CB6A41" w:rsidP="00CB6A41" w:rsidRDefault="00AC0D02" w14:paraId="766A3FAC" w14:textId="63230DD2">
            <w:pPr>
              <w:rPr>
                <w:rFonts w:eastAsia="Times New Roman" w:cs="Calibri"/>
                <w:color w:val="000000"/>
              </w:rPr>
            </w:pPr>
            <w:r>
              <w:rPr>
                <w:rFonts w:eastAsia="Times New Roman" w:cs="Calibri"/>
                <w:color w:val="000000"/>
              </w:rPr>
              <w:t>E</w:t>
            </w:r>
            <w:r w:rsidRPr="009B6FFE" w:rsidR="00CB6A41">
              <w:rPr>
                <w:rFonts w:eastAsia="Times New Roman" w:cs="Calibri"/>
                <w:color w:val="000000"/>
              </w:rPr>
              <w:t>mployer provides health insurance or pays for health care for a work-related injury or illness</w:t>
            </w:r>
            <w:r>
              <w:rPr>
                <w:rFonts w:eastAsia="Times New Roman" w:cs="Calibri"/>
                <w:color w:val="000000"/>
              </w:rPr>
              <w:t>.</w:t>
            </w:r>
          </w:p>
        </w:tc>
        <w:tc>
          <w:tcPr>
            <w:tcW w:w="1594" w:type="dxa"/>
            <w:tcBorders>
              <w:top w:val="single" w:color="95B3D7" w:sz="4" w:space="0"/>
              <w:left w:val="nil"/>
              <w:bottom w:val="single" w:color="95B3D7" w:sz="4" w:space="0"/>
              <w:right w:val="single" w:color="95B3D7" w:sz="4" w:space="0"/>
            </w:tcBorders>
            <w:shd w:val="clear" w:color="auto" w:fill="FFFFFF" w:themeFill="background1"/>
            <w:noWrap/>
            <w:vAlign w:val="bottom"/>
            <w:hideMark/>
          </w:tcPr>
          <w:p w:rsidRPr="009B6FFE" w:rsidR="00CB6A41" w:rsidP="00CB6A41" w:rsidRDefault="00CB6A41" w14:paraId="6519959B" w14:textId="77777777">
            <w:pPr>
              <w:rPr>
                <w:rFonts w:eastAsia="Times New Roman" w:cs="Calibri"/>
                <w:color w:val="000000"/>
              </w:rPr>
            </w:pPr>
            <w:r w:rsidRPr="009B6FFE">
              <w:rPr>
                <w:rFonts w:eastAsia="Times New Roman" w:cs="Calibri"/>
                <w:color w:val="000000"/>
              </w:rPr>
              <w:t>79%</w:t>
            </w:r>
          </w:p>
        </w:tc>
      </w:tr>
    </w:tbl>
    <w:p w:rsidRPr="009B6FFE" w:rsidR="00527056" w:rsidP="003A41E3" w:rsidRDefault="00527056" w14:paraId="703CE5A6" w14:textId="6B78DB47"/>
    <w:p w:rsidRPr="009B6FFE" w:rsidR="00767FC7" w:rsidP="00A3220C" w:rsidRDefault="00A3220C" w14:paraId="3908E1D0" w14:textId="33477E75">
      <w:pPr>
        <w:pStyle w:val="Heading1"/>
      </w:pPr>
      <w:r w:rsidRPr="009B6FFE">
        <w:t>Need-Based Program Utilization</w:t>
      </w:r>
    </w:p>
    <w:p w:rsidRPr="009B6FFE" w:rsidR="009169CF" w:rsidP="00A3220C" w:rsidRDefault="009169CF" w14:paraId="653F2335" w14:textId="47D87E64">
      <w:r w:rsidRPr="009B6FFE">
        <w:t xml:space="preserve">Table </w:t>
      </w:r>
      <w:r w:rsidRPr="009B6FFE" w:rsidR="00A267D3">
        <w:t>2</w:t>
      </w:r>
      <w:r w:rsidRPr="009B6FFE">
        <w:t xml:space="preserve"> illustrates the percentage of </w:t>
      </w:r>
      <w:r w:rsidR="00B772EF">
        <w:t>farmworker</w:t>
      </w:r>
      <w:r w:rsidRPr="009B6FFE">
        <w:t>s who claimed a person in their household received assistance from need-based programs:</w:t>
      </w:r>
    </w:p>
    <w:p w:rsidRPr="009B6FFE" w:rsidR="009169CF" w:rsidP="009169CF" w:rsidRDefault="009169CF" w14:paraId="4236A529" w14:textId="77777777">
      <w:pPr>
        <w:pStyle w:val="ListParagraph"/>
      </w:pPr>
    </w:p>
    <w:p w:rsidRPr="009B6FFE" w:rsidR="009169CF" w:rsidP="009169CF" w:rsidRDefault="009169CF" w14:paraId="456AE7DE" w14:textId="31033CDD">
      <w:pPr>
        <w:pStyle w:val="Caption"/>
        <w:keepNext/>
      </w:pPr>
      <w:bookmarkStart w:name="_Hlk117771130" w:id="0"/>
      <w:r w:rsidRPr="009B6FFE">
        <w:t xml:space="preserve">Table </w:t>
      </w:r>
      <w:r w:rsidRPr="009B6FFE" w:rsidR="00A267D3">
        <w:t>2</w:t>
      </w:r>
      <w:r w:rsidRPr="009B6FFE">
        <w:t>: Utilization of Need-Based Programs, 20</w:t>
      </w:r>
      <w:r w:rsidRPr="009B6FFE" w:rsidR="00904DCA">
        <w:t>1</w:t>
      </w:r>
      <w:r w:rsidRPr="009B6FFE" w:rsidR="00A267D3">
        <w:t>9</w:t>
      </w:r>
      <w:r w:rsidRPr="009B6FFE" w:rsidR="00904DCA">
        <w:t>-2020</w:t>
      </w:r>
      <w:bookmarkEnd w:id="0"/>
    </w:p>
    <w:p w:rsidRPr="009B6FFE" w:rsidR="009169CF" w:rsidP="009169CF" w:rsidRDefault="009169CF" w14:paraId="2ABDAA8E" w14:textId="77777777"/>
    <w:tbl>
      <w:tblPr>
        <w:tblStyle w:val="GridTable1Light"/>
        <w:tblW w:w="0" w:type="auto"/>
        <w:tblInd w:w="607" w:type="dxa"/>
        <w:tblLook w:val="04A0" w:firstRow="1" w:lastRow="0" w:firstColumn="1" w:lastColumn="0" w:noHBand="0" w:noVBand="1"/>
      </w:tblPr>
      <w:tblGrid>
        <w:gridCol w:w="5328"/>
        <w:gridCol w:w="3330"/>
      </w:tblGrid>
      <w:tr w:rsidRPr="009B6FFE" w:rsidR="009169CF" w:rsidTr="00A33EC4" w14:paraId="4A35E4FB" w14:textId="77777777">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328" w:type="dxa"/>
            <w:shd w:val="clear" w:color="auto" w:fill="4391C6" w:themeFill="accent1"/>
          </w:tcPr>
          <w:p w:rsidRPr="00A33EC4" w:rsidR="009169CF" w:rsidP="00A33EC4" w:rsidRDefault="009169CF" w14:paraId="314DFE8D" w14:textId="77777777">
            <w:pPr>
              <w:jc w:val="both"/>
              <w:rPr>
                <w:i/>
                <w:iCs/>
                <w:color w:val="FFFFFF" w:themeColor="background1"/>
              </w:rPr>
            </w:pPr>
            <w:r w:rsidRPr="00A33EC4">
              <w:rPr>
                <w:color w:val="FFFFFF" w:themeColor="background1"/>
              </w:rPr>
              <w:t xml:space="preserve">Programs Utilized </w:t>
            </w:r>
          </w:p>
        </w:tc>
        <w:tc>
          <w:tcPr>
            <w:tcW w:w="3330" w:type="dxa"/>
            <w:shd w:val="clear" w:color="auto" w:fill="4391C6" w:themeFill="accent1"/>
          </w:tcPr>
          <w:p w:rsidRPr="00A33EC4" w:rsidR="009169CF" w:rsidP="00A33EC4" w:rsidRDefault="009169CF" w14:paraId="182B24F7" w14:textId="283736FB">
            <w:pPr>
              <w:jc w:val="both"/>
              <w:cnfStyle w:val="100000000000" w:firstRow="1" w:lastRow="0" w:firstColumn="0" w:lastColumn="0" w:oddVBand="0" w:evenVBand="0" w:oddHBand="0" w:evenHBand="0" w:firstRowFirstColumn="0" w:firstRowLastColumn="0" w:lastRowFirstColumn="0" w:lastRowLastColumn="0"/>
              <w:rPr>
                <w:i/>
                <w:iCs/>
                <w:color w:val="FFFFFF" w:themeColor="background1"/>
              </w:rPr>
            </w:pPr>
            <w:r w:rsidRPr="00A33EC4">
              <w:rPr>
                <w:color w:val="FFFFFF" w:themeColor="background1"/>
              </w:rPr>
              <w:t xml:space="preserve">Percent of </w:t>
            </w:r>
            <w:r w:rsidR="00B772EF">
              <w:rPr>
                <w:color w:val="FFFFFF" w:themeColor="background1"/>
              </w:rPr>
              <w:t>Farmworker</w:t>
            </w:r>
            <w:r w:rsidRPr="00A33EC4" w:rsidR="0068264A">
              <w:rPr>
                <w:color w:val="FFFFFF" w:themeColor="background1"/>
              </w:rPr>
              <w:t>’s Household</w:t>
            </w:r>
          </w:p>
        </w:tc>
      </w:tr>
      <w:tr w:rsidRPr="009B6FFE" w:rsidR="009169CF" w:rsidTr="00FB75B2" w14:paraId="37366163" w14:textId="77777777">
        <w:trPr>
          <w:trHeight w:val="27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109E5571" w14:textId="77777777">
            <w:pPr>
              <w:rPr>
                <w:i/>
                <w:iCs/>
              </w:rPr>
            </w:pPr>
            <w:r w:rsidRPr="009B6FFE">
              <w:t>Public Health Clinic</w:t>
            </w:r>
          </w:p>
        </w:tc>
        <w:tc>
          <w:tcPr>
            <w:tcW w:w="3330" w:type="dxa"/>
          </w:tcPr>
          <w:p w:rsidRPr="009B6FFE" w:rsidR="009169CF" w:rsidP="007B7D1E" w:rsidRDefault="00904DCA" w14:paraId="254084E1" w14:textId="0D283236">
            <w:pPr>
              <w:cnfStyle w:val="000000000000" w:firstRow="0" w:lastRow="0" w:firstColumn="0" w:lastColumn="0" w:oddVBand="0" w:evenVBand="0" w:oddHBand="0" w:evenHBand="0" w:firstRowFirstColumn="0" w:firstRowLastColumn="0" w:lastRowFirstColumn="0" w:lastRowLastColumn="0"/>
            </w:pPr>
            <w:r w:rsidRPr="009B6FFE">
              <w:t>33</w:t>
            </w:r>
            <w:r w:rsidRPr="009B6FFE" w:rsidR="009169CF">
              <w:t>%</w:t>
            </w:r>
          </w:p>
        </w:tc>
      </w:tr>
      <w:tr w:rsidRPr="009B6FFE" w:rsidR="009169CF" w:rsidTr="00FB75B2" w14:paraId="529A258E" w14:textId="77777777">
        <w:trPr>
          <w:trHeight w:val="26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3C42EEE7" w14:textId="18F72666">
            <w:pPr>
              <w:rPr>
                <w:i/>
                <w:iCs/>
              </w:rPr>
            </w:pPr>
            <w:r w:rsidRPr="009B6FFE">
              <w:t>U</w:t>
            </w:r>
            <w:r w:rsidRPr="009B6FFE" w:rsidR="00FB75B2">
              <w:t>nemployment Insurance (UI)</w:t>
            </w:r>
          </w:p>
        </w:tc>
        <w:tc>
          <w:tcPr>
            <w:tcW w:w="3330" w:type="dxa"/>
          </w:tcPr>
          <w:p w:rsidRPr="009B6FFE" w:rsidR="009169CF" w:rsidP="007B7D1E" w:rsidRDefault="003C2CE1" w14:paraId="6ED3E8E2" w14:textId="5A1AF278">
            <w:pPr>
              <w:cnfStyle w:val="000000000000" w:firstRow="0" w:lastRow="0" w:firstColumn="0" w:lastColumn="0" w:oddVBand="0" w:evenVBand="0" w:oddHBand="0" w:evenHBand="0" w:firstRowFirstColumn="0" w:firstRowLastColumn="0" w:lastRowFirstColumn="0" w:lastRowLastColumn="0"/>
            </w:pPr>
            <w:r w:rsidRPr="009B6FFE">
              <w:t>8</w:t>
            </w:r>
            <w:r w:rsidRPr="009B6FFE" w:rsidR="009169CF">
              <w:t>%</w:t>
            </w:r>
          </w:p>
        </w:tc>
      </w:tr>
      <w:tr w:rsidRPr="009B6FFE" w:rsidR="009169CF" w:rsidTr="00FB75B2" w14:paraId="68B232FC" w14:textId="77777777">
        <w:trPr>
          <w:trHeight w:val="27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7E9F915F" w14:textId="77777777">
            <w:pPr>
              <w:rPr>
                <w:i/>
                <w:iCs/>
              </w:rPr>
            </w:pPr>
            <w:r w:rsidRPr="009B6FFE">
              <w:t>Disability</w:t>
            </w:r>
          </w:p>
        </w:tc>
        <w:tc>
          <w:tcPr>
            <w:tcW w:w="3330" w:type="dxa"/>
          </w:tcPr>
          <w:p w:rsidRPr="009B6FFE" w:rsidR="009169CF" w:rsidP="007B7D1E" w:rsidRDefault="003C2CE1" w14:paraId="4A98F314" w14:textId="56D4CFEA">
            <w:pPr>
              <w:cnfStyle w:val="000000000000" w:firstRow="0" w:lastRow="0" w:firstColumn="0" w:lastColumn="0" w:oddVBand="0" w:evenVBand="0" w:oddHBand="0" w:evenHBand="0" w:firstRowFirstColumn="0" w:firstRowLastColumn="0" w:lastRowFirstColumn="0" w:lastRowLastColumn="0"/>
            </w:pPr>
            <w:r w:rsidRPr="009B6FFE">
              <w:t>1</w:t>
            </w:r>
            <w:r w:rsidRPr="009B6FFE" w:rsidR="009169CF">
              <w:t>%</w:t>
            </w:r>
          </w:p>
        </w:tc>
      </w:tr>
      <w:tr w:rsidRPr="009B6FFE" w:rsidR="009169CF" w:rsidTr="00FB75B2" w14:paraId="041CE73B" w14:textId="77777777">
        <w:trPr>
          <w:trHeight w:val="26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175ADCE5" w14:textId="77777777">
            <w:pPr>
              <w:rPr>
                <w:i/>
                <w:iCs/>
              </w:rPr>
            </w:pPr>
            <w:r w:rsidRPr="009B6FFE">
              <w:t>Social Security</w:t>
            </w:r>
          </w:p>
        </w:tc>
        <w:tc>
          <w:tcPr>
            <w:tcW w:w="3330" w:type="dxa"/>
          </w:tcPr>
          <w:p w:rsidRPr="009B6FFE" w:rsidR="009169CF" w:rsidP="007B7D1E" w:rsidRDefault="003C2CE1" w14:paraId="13D8ED86" w14:textId="3D393A8B">
            <w:pPr>
              <w:cnfStyle w:val="000000000000" w:firstRow="0" w:lastRow="0" w:firstColumn="0" w:lastColumn="0" w:oddVBand="0" w:evenVBand="0" w:oddHBand="0" w:evenHBand="0" w:firstRowFirstColumn="0" w:firstRowLastColumn="0" w:lastRowFirstColumn="0" w:lastRowLastColumn="0"/>
            </w:pPr>
            <w:r w:rsidRPr="009B6FFE">
              <w:t>4</w:t>
            </w:r>
            <w:r w:rsidRPr="009B6FFE" w:rsidR="009169CF">
              <w:t>%</w:t>
            </w:r>
          </w:p>
        </w:tc>
      </w:tr>
      <w:tr w:rsidRPr="009B6FFE" w:rsidR="009169CF" w:rsidTr="00FB75B2" w14:paraId="79C241CD" w14:textId="77777777">
        <w:trPr>
          <w:trHeight w:val="26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63DF62BA" w14:textId="77777777">
            <w:pPr>
              <w:rPr>
                <w:i/>
                <w:iCs/>
              </w:rPr>
            </w:pPr>
            <w:r w:rsidRPr="009B6FFE">
              <w:t>Medicaid</w:t>
            </w:r>
          </w:p>
        </w:tc>
        <w:tc>
          <w:tcPr>
            <w:tcW w:w="3330" w:type="dxa"/>
          </w:tcPr>
          <w:p w:rsidRPr="009B6FFE" w:rsidR="009169CF" w:rsidP="007B7D1E" w:rsidRDefault="009169CF" w14:paraId="0BDB5E6D" w14:textId="5787CDF9">
            <w:pPr>
              <w:cnfStyle w:val="000000000000" w:firstRow="0" w:lastRow="0" w:firstColumn="0" w:lastColumn="0" w:oddVBand="0" w:evenVBand="0" w:oddHBand="0" w:evenHBand="0" w:firstRowFirstColumn="0" w:firstRowLastColumn="0" w:lastRowFirstColumn="0" w:lastRowLastColumn="0"/>
            </w:pPr>
            <w:r w:rsidRPr="009B6FFE">
              <w:t>4</w:t>
            </w:r>
            <w:r w:rsidRPr="009B6FFE" w:rsidR="003C2CE1">
              <w:t>4</w:t>
            </w:r>
            <w:r w:rsidRPr="009B6FFE">
              <w:t>%</w:t>
            </w:r>
          </w:p>
        </w:tc>
      </w:tr>
      <w:tr w:rsidRPr="009B6FFE" w:rsidR="009169CF" w:rsidTr="00FB75B2" w14:paraId="54EE51A9" w14:textId="77777777">
        <w:trPr>
          <w:trHeight w:val="27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D3195C" w:rsidRDefault="00B772EF" w14:paraId="2C635D3F" w14:textId="2A283C52">
            <w:pPr>
              <w:pStyle w:val="pf0"/>
              <w:rPr>
                <w:i/>
                <w:iCs/>
              </w:rPr>
            </w:pPr>
            <w:r w:rsidRPr="00D3195C">
              <w:rPr>
                <w:rStyle w:val="cf01"/>
                <w:rFonts w:ascii="Cabin" w:hAnsi="Cabin" w:eastAsiaTheme="majorEastAsia"/>
                <w:sz w:val="22"/>
                <w:szCs w:val="22"/>
              </w:rPr>
              <w:t>Special Supplemental Nutrition Program for Women, Infants, and Children</w:t>
            </w:r>
            <w:r w:rsidR="00D3195C">
              <w:rPr>
                <w:rStyle w:val="cf01"/>
                <w:rFonts w:ascii="Cabin" w:hAnsi="Cabin" w:eastAsiaTheme="majorEastAsia"/>
                <w:sz w:val="22"/>
                <w:szCs w:val="22"/>
              </w:rPr>
              <w:t xml:space="preserve"> </w:t>
            </w:r>
            <w:r w:rsidRPr="00D3195C" w:rsidR="00FB75B2">
              <w:rPr>
                <w:rFonts w:ascii="Cabin" w:hAnsi="Cabin"/>
                <w:sz w:val="22"/>
                <w:szCs w:val="22"/>
              </w:rPr>
              <w:t>(WIC)</w:t>
            </w:r>
          </w:p>
        </w:tc>
        <w:tc>
          <w:tcPr>
            <w:tcW w:w="3330" w:type="dxa"/>
          </w:tcPr>
          <w:p w:rsidRPr="009B6FFE" w:rsidR="009169CF" w:rsidP="007B7D1E" w:rsidRDefault="00904DCA" w14:paraId="7AFCF274" w14:textId="0FF59D61">
            <w:pPr>
              <w:cnfStyle w:val="000000000000" w:firstRow="0" w:lastRow="0" w:firstColumn="0" w:lastColumn="0" w:oddVBand="0" w:evenVBand="0" w:oddHBand="0" w:evenHBand="0" w:firstRowFirstColumn="0" w:firstRowLastColumn="0" w:lastRowFirstColumn="0" w:lastRowLastColumn="0"/>
            </w:pPr>
            <w:r w:rsidRPr="009B6FFE">
              <w:t>9</w:t>
            </w:r>
            <w:r w:rsidRPr="009B6FFE" w:rsidR="009169CF">
              <w:t>%</w:t>
            </w:r>
          </w:p>
        </w:tc>
      </w:tr>
      <w:tr w:rsidRPr="009B6FFE" w:rsidR="009169CF" w:rsidTr="00FB75B2" w14:paraId="7DB88B7E" w14:textId="77777777">
        <w:trPr>
          <w:trHeight w:val="26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55BFB49B" w14:textId="20452E1E">
            <w:pPr>
              <w:rPr>
                <w:i/>
                <w:iCs/>
              </w:rPr>
            </w:pPr>
            <w:r w:rsidRPr="009B6FFE">
              <w:t>S</w:t>
            </w:r>
            <w:r w:rsidRPr="009B6FFE" w:rsidR="00FB75B2">
              <w:t>upplemental Nutrition Assistance Program (SNAP)</w:t>
            </w:r>
          </w:p>
        </w:tc>
        <w:tc>
          <w:tcPr>
            <w:tcW w:w="3330" w:type="dxa"/>
          </w:tcPr>
          <w:p w:rsidRPr="009B6FFE" w:rsidR="009169CF" w:rsidP="007B7D1E" w:rsidRDefault="009169CF" w14:paraId="368093F2" w14:textId="5CA3567F">
            <w:pPr>
              <w:cnfStyle w:val="000000000000" w:firstRow="0" w:lastRow="0" w:firstColumn="0" w:lastColumn="0" w:oddVBand="0" w:evenVBand="0" w:oddHBand="0" w:evenHBand="0" w:firstRowFirstColumn="0" w:firstRowLastColumn="0" w:lastRowFirstColumn="0" w:lastRowLastColumn="0"/>
            </w:pPr>
            <w:r w:rsidRPr="009B6FFE">
              <w:t>1</w:t>
            </w:r>
            <w:r w:rsidRPr="009B6FFE" w:rsidR="00904DCA">
              <w:t>3</w:t>
            </w:r>
            <w:r w:rsidRPr="009B6FFE">
              <w:t>%</w:t>
            </w:r>
          </w:p>
        </w:tc>
      </w:tr>
      <w:tr w:rsidRPr="009B6FFE" w:rsidR="009169CF" w:rsidTr="00FB75B2" w14:paraId="1265CD9F" w14:textId="77777777">
        <w:trPr>
          <w:trHeight w:val="277"/>
        </w:trPr>
        <w:tc>
          <w:tcPr>
            <w:cnfStyle w:val="001000000000" w:firstRow="0" w:lastRow="0" w:firstColumn="1" w:lastColumn="0" w:oddVBand="0" w:evenVBand="0" w:oddHBand="0" w:evenHBand="0" w:firstRowFirstColumn="0" w:firstRowLastColumn="0" w:lastRowFirstColumn="0" w:lastRowLastColumn="0"/>
            <w:tcW w:w="5328" w:type="dxa"/>
          </w:tcPr>
          <w:p w:rsidRPr="009B6FFE" w:rsidR="009169CF" w:rsidP="007B7D1E" w:rsidRDefault="009169CF" w14:paraId="2BCC6626" w14:textId="51871B4E">
            <w:pPr>
              <w:rPr>
                <w:i/>
                <w:iCs/>
              </w:rPr>
            </w:pPr>
            <w:r w:rsidRPr="009B6FFE">
              <w:t>T</w:t>
            </w:r>
            <w:r w:rsidRPr="009B6FFE" w:rsidR="00FB75B2">
              <w:t>emporary Assistance for Needy Families (TANF)</w:t>
            </w:r>
          </w:p>
        </w:tc>
        <w:tc>
          <w:tcPr>
            <w:tcW w:w="3330" w:type="dxa"/>
          </w:tcPr>
          <w:p w:rsidRPr="009B6FFE" w:rsidR="009169CF" w:rsidP="007B7D1E" w:rsidRDefault="00904DCA" w14:paraId="5B777F91" w14:textId="013A3230">
            <w:pPr>
              <w:cnfStyle w:val="000000000000" w:firstRow="0" w:lastRow="0" w:firstColumn="0" w:lastColumn="0" w:oddVBand="0" w:evenVBand="0" w:oddHBand="0" w:evenHBand="0" w:firstRowFirstColumn="0" w:firstRowLastColumn="0" w:lastRowFirstColumn="0" w:lastRowLastColumn="0"/>
            </w:pPr>
            <w:r w:rsidRPr="009B6FFE">
              <w:t>2</w:t>
            </w:r>
            <w:r w:rsidRPr="009B6FFE" w:rsidR="009169CF">
              <w:t>%</w:t>
            </w:r>
          </w:p>
        </w:tc>
      </w:tr>
    </w:tbl>
    <w:p w:rsidRPr="009B6FFE" w:rsidR="009169CF" w:rsidP="009169CF" w:rsidRDefault="009169CF" w14:paraId="229C6799" w14:textId="77777777">
      <w:pPr>
        <w:pStyle w:val="ListParagraph"/>
      </w:pPr>
    </w:p>
    <w:p w:rsidRPr="009B6FFE" w:rsidR="00024CB9" w:rsidP="00BA47D0" w:rsidRDefault="4AF64FF7" w14:paraId="605C78C2" w14:textId="45CD7140">
      <w:pPr>
        <w:pStyle w:val="ListParagraph"/>
        <w:numPr>
          <w:ilvl w:val="0"/>
          <w:numId w:val="3"/>
        </w:numPr>
      </w:pPr>
      <w:r w:rsidRPr="009B6FFE">
        <w:rPr>
          <w:rStyle w:val="Heading2Char"/>
          <w:rFonts w:ascii="Cabin" w:hAnsi="Cabin"/>
          <w:b/>
        </w:rPr>
        <w:t>Workers’ compensation coverage</w:t>
      </w:r>
      <w:r w:rsidRPr="009B6FFE">
        <w:rPr>
          <w:rStyle w:val="Heading2Char"/>
          <w:rFonts w:ascii="Cabin" w:hAnsi="Cabin"/>
        </w:rPr>
        <w:t>:</w:t>
      </w:r>
      <w:r w:rsidRPr="009B6FFE">
        <w:t xml:space="preserve">  Seventy-nine percent of the 201</w:t>
      </w:r>
      <w:r w:rsidRPr="009B6FFE" w:rsidR="00A267D3">
        <w:t>9</w:t>
      </w:r>
      <w:r w:rsidRPr="009B6FFE">
        <w:t xml:space="preserve">-2020 NAWS respondents reported that if they were injured at work or got sick </w:t>
      </w:r>
      <w:proofErr w:type="gramStart"/>
      <w:r w:rsidRPr="009B6FFE">
        <w:t>as a result of</w:t>
      </w:r>
      <w:proofErr w:type="gramEnd"/>
      <w:r w:rsidRPr="009B6FFE">
        <w:t xml:space="preserve"> work, their employer provided workers’ compensation, 10% reported that did not have workers’ compensation, and 13% did not know their coverage status. </w:t>
      </w:r>
    </w:p>
    <w:p w:rsidR="00B86CEC" w:rsidP="00BA47D0" w:rsidRDefault="46673E4B" w14:paraId="58618F67" w14:textId="17157E06">
      <w:pPr>
        <w:pStyle w:val="ListParagraph"/>
        <w:numPr>
          <w:ilvl w:val="0"/>
          <w:numId w:val="3"/>
        </w:numPr>
      </w:pPr>
      <w:r w:rsidRPr="009B6FFE">
        <w:rPr>
          <w:rStyle w:val="Heading2Char"/>
          <w:rFonts w:ascii="Cabin" w:hAnsi="Cabin"/>
          <w:b/>
        </w:rPr>
        <w:t>Insurance coverage:</w:t>
      </w:r>
      <w:r w:rsidRPr="009B6FFE">
        <w:t xml:space="preserve"> Forty-eight percent of NAWS respondents had health insurance. Of those </w:t>
      </w:r>
      <w:r w:rsidR="00B772EF">
        <w:t>farmworker</w:t>
      </w:r>
      <w:r w:rsidRPr="009B6FFE">
        <w:t>s with health insurance, 26% said their employer provided the insurance,</w:t>
      </w:r>
      <w:r w:rsidR="00A6465B">
        <w:t xml:space="preserve"> </w:t>
      </w:r>
      <w:r w:rsidRPr="009B6FFE">
        <w:t>39% had insurance through a government program, 13% reported they or their spouse paid for the insurance, 7% were covered under their spouse’s plan, 12% were covered by another family member, and 7% reported another entity paid for their insurance.</w:t>
      </w:r>
      <w:r w:rsidRPr="0044555C" w:rsidR="00722355">
        <w:rPr>
          <w:rStyle w:val="FootnoteReference"/>
        </w:rPr>
        <w:footnoteReference w:id="9"/>
      </w:r>
      <w:r w:rsidRPr="009B6FFE">
        <w:t xml:space="preserve"> Ninety-one percent of respondents reported that their minor children had health insurance. </w:t>
      </w:r>
    </w:p>
    <w:p w:rsidRPr="00AC0D02" w:rsidR="00A6465B" w:rsidP="111542B5" w:rsidRDefault="111542B5" w14:paraId="46B33F10" w14:textId="3BA21012">
      <w:pPr>
        <w:pStyle w:val="ListParagraph"/>
        <w:numPr>
          <w:ilvl w:val="0"/>
          <w:numId w:val="3"/>
        </w:numPr>
        <w:rPr>
          <w:rStyle w:val="cf01"/>
          <w:rFonts w:ascii="Cabin" w:hAnsi="Cabin" w:cstheme="minorBidi"/>
          <w:sz w:val="22"/>
          <w:szCs w:val="22"/>
        </w:rPr>
      </w:pPr>
      <w:r w:rsidRPr="111542B5">
        <w:rPr>
          <w:rStyle w:val="Heading2Char"/>
          <w:rFonts w:ascii="Cabin" w:hAnsi="Cabin"/>
          <w:b/>
        </w:rPr>
        <w:t>Insurance coverage across worker status:</w:t>
      </w:r>
      <w:r w:rsidRPr="111542B5">
        <w:rPr>
          <w:rStyle w:val="cf01"/>
        </w:rPr>
        <w:t xml:space="preserve"> </w:t>
      </w:r>
      <w:r w:rsidRPr="111542B5">
        <w:rPr>
          <w:rStyle w:val="cf01"/>
          <w:rFonts w:ascii="Cabin" w:hAnsi="Cabin"/>
          <w:sz w:val="22"/>
          <w:szCs w:val="22"/>
        </w:rPr>
        <w:t xml:space="preserve">Insurance coverage among all </w:t>
      </w:r>
      <w:r w:rsidR="00B772EF">
        <w:rPr>
          <w:rStyle w:val="cf01"/>
          <w:rFonts w:ascii="Cabin" w:hAnsi="Cabin"/>
          <w:sz w:val="22"/>
          <w:szCs w:val="22"/>
        </w:rPr>
        <w:t>farmworker</w:t>
      </w:r>
      <w:r w:rsidRPr="111542B5">
        <w:rPr>
          <w:rStyle w:val="cf01"/>
          <w:rFonts w:ascii="Cabin" w:hAnsi="Cabin"/>
          <w:sz w:val="22"/>
          <w:szCs w:val="22"/>
        </w:rPr>
        <w:t xml:space="preserve"> groups had been increasing over the last decade, however majority of groups experienced a decrease in insurance coverage from 2017-2018 to 2019-2020. Migratory </w:t>
      </w:r>
      <w:r w:rsidR="00B772EF">
        <w:rPr>
          <w:rStyle w:val="cf01"/>
          <w:rFonts w:ascii="Cabin" w:hAnsi="Cabin"/>
          <w:sz w:val="22"/>
          <w:szCs w:val="22"/>
        </w:rPr>
        <w:t>farmworker</w:t>
      </w:r>
      <w:r w:rsidRPr="111542B5">
        <w:rPr>
          <w:rStyle w:val="cf01"/>
          <w:rFonts w:ascii="Cabin" w:hAnsi="Cabin"/>
          <w:sz w:val="22"/>
          <w:szCs w:val="22"/>
        </w:rPr>
        <w:t xml:space="preserve">s were the only group that a larger proportion of </w:t>
      </w:r>
      <w:r w:rsidR="00B772EF">
        <w:rPr>
          <w:rStyle w:val="cf01"/>
          <w:rFonts w:ascii="Cabin" w:hAnsi="Cabin"/>
          <w:sz w:val="22"/>
          <w:szCs w:val="22"/>
        </w:rPr>
        <w:t>farmworker</w:t>
      </w:r>
      <w:r w:rsidRPr="111542B5">
        <w:rPr>
          <w:rStyle w:val="cf01"/>
          <w:rFonts w:ascii="Cabin" w:hAnsi="Cabin"/>
          <w:sz w:val="22"/>
          <w:szCs w:val="22"/>
        </w:rPr>
        <w:t>s covered by insurance in 2019-2020 than 2017-2018. See Figure 3.</w:t>
      </w:r>
    </w:p>
    <w:p w:rsidR="00DE2087" w:rsidP="00504BA9" w:rsidRDefault="00DE2087" w14:paraId="314921CB" w14:textId="77777777">
      <w:pPr>
        <w:pStyle w:val="Caption"/>
        <w:keepNext/>
      </w:pPr>
    </w:p>
    <w:p w:rsidRPr="009B6FFE" w:rsidR="00504BA9" w:rsidP="00504BA9" w:rsidRDefault="46673E4B" w14:paraId="59DED9E3" w14:textId="50CED98B">
      <w:pPr>
        <w:pStyle w:val="Caption"/>
        <w:keepNext/>
      </w:pPr>
      <w:r w:rsidRPr="009B6FFE">
        <w:t xml:space="preserve">Figure </w:t>
      </w:r>
      <w:r w:rsidRPr="009B6FFE" w:rsidR="00A267D3">
        <w:t>3</w:t>
      </w:r>
      <w:r w:rsidRPr="009B6FFE">
        <w:t xml:space="preserve">: Percentage </w:t>
      </w:r>
      <w:r w:rsidRPr="009B6FFE" w:rsidR="00D3195C">
        <w:t>of</w:t>
      </w:r>
      <w:r w:rsidR="00D3195C">
        <w:t xml:space="preserve"> </w:t>
      </w:r>
      <w:r w:rsidRPr="009B6FFE" w:rsidR="00D3195C">
        <w:t>Farmworkers</w:t>
      </w:r>
      <w:r w:rsidRPr="009B6FFE">
        <w:t xml:space="preserve"> with Health Insurance, 2013-2020</w:t>
      </w:r>
    </w:p>
    <w:p w:rsidRPr="009B6FFE" w:rsidR="00EC1479" w:rsidP="00DE2087" w:rsidRDefault="00CD1995" w14:paraId="3854C143" w14:textId="5DA247FA">
      <w:pPr>
        <w:jc w:val="center"/>
      </w:pPr>
      <w:r w:rsidRPr="009B6FFE">
        <w:rPr>
          <w:noProof/>
        </w:rPr>
        <w:drawing>
          <wp:inline distT="0" distB="0" distL="0" distR="0" wp14:anchorId="60589209" wp14:editId="109429AE">
            <wp:extent cx="6257925" cy="35242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9B6FFE" w:rsidR="00142BE1" w:rsidP="009169CF" w:rsidRDefault="000525F6" w14:paraId="199E3E9F" w14:textId="09A6C13B">
      <w:pPr>
        <w:pStyle w:val="Caption"/>
      </w:pPr>
      <w:r w:rsidRPr="009B6FFE">
        <w:t xml:space="preserve">   </w:t>
      </w:r>
    </w:p>
    <w:p w:rsidRPr="009B6FFE" w:rsidR="009169CF" w:rsidP="00BA47D0" w:rsidRDefault="009169CF" w14:paraId="4D1E9DAA" w14:textId="77777777">
      <w:pPr>
        <w:rPr>
          <w:i/>
          <w:iCs/>
          <w:sz w:val="18"/>
          <w:szCs w:val="18"/>
          <w:shd w:val="clear" w:color="auto" w:fill="FFFFFF"/>
        </w:rPr>
      </w:pPr>
    </w:p>
    <w:p w:rsidRPr="009B6FFE" w:rsidR="009169CF" w:rsidP="00BA47D0" w:rsidRDefault="009169CF" w14:paraId="739EBC61" w14:textId="77777777">
      <w:pPr>
        <w:rPr>
          <w:i/>
          <w:iCs/>
          <w:sz w:val="18"/>
          <w:szCs w:val="18"/>
          <w:shd w:val="clear" w:color="auto" w:fill="FFFFFF"/>
        </w:rPr>
      </w:pPr>
    </w:p>
    <w:p w:rsidRPr="009B6FFE" w:rsidR="009169CF" w:rsidP="00BA47D0" w:rsidRDefault="009169CF" w14:paraId="44C899E8" w14:textId="77777777">
      <w:pPr>
        <w:rPr>
          <w:i/>
          <w:iCs/>
          <w:sz w:val="18"/>
          <w:szCs w:val="18"/>
          <w:shd w:val="clear" w:color="auto" w:fill="FFFFFF"/>
        </w:rPr>
      </w:pPr>
    </w:p>
    <w:p w:rsidRPr="009169CF" w:rsidR="00630104" w:rsidP="6C37755E" w:rsidRDefault="00CD1995" w14:paraId="6681FB60" w14:textId="470D6BB2">
      <w:pPr>
        <w:pStyle w:val="Normal"/>
        <w:rPr>
          <w:i w:val="1"/>
          <w:iCs w:val="1"/>
          <w:sz w:val="18"/>
          <w:szCs w:val="18"/>
        </w:rPr>
      </w:pPr>
      <w:r w:rsidRPr="6C37755E">
        <w:rPr>
          <w:i w:val="1"/>
          <w:iCs w:val="1"/>
          <w:sz w:val="18"/>
          <w:szCs w:val="18"/>
          <w:shd w:val="clear" w:color="auto" w:fill="FFFFFF"/>
        </w:rPr>
        <w:t>Disclaimer</w:t>
      </w:r>
      <w:r w:rsidRPr="6C37755E">
        <w:rPr>
          <w:rFonts w:ascii="Cabin" w:hAnsi="Cabin" w:eastAsia="Cabin" w:cs="Cabin"/>
          <w:i w:val="1"/>
          <w:iCs w:val="1"/>
          <w:sz w:val="18"/>
          <w:szCs w:val="18"/>
          <w:shd w:val="clear" w:color="auto" w:fill="FFFFFF"/>
        </w:rPr>
        <w:t xml:space="preserve">:  </w:t>
      </w:r>
      <w:r w:rsidRPr="6C37755E" w:rsidR="6C37755E">
        <w:rPr>
          <w:rFonts w:ascii="Cabin" w:hAnsi="Cabin" w:eastAsia="Cabin" w:cs="Cabin"/>
          <w:noProof w:val="0"/>
          <w:color w:val="222222"/>
          <w:sz w:val="18"/>
          <w:szCs w:val="18"/>
          <w:lang w:val="en-US"/>
        </w:rPr>
        <w:t>This publication was supported by the Health Resources and Services Administration (HRSA) of the U.S. Department of Health and Human Services (HHS) as part of an award totaling $</w:t>
      </w:r>
      <w:r w:rsidRPr="6C37755E" w:rsidR="6C37755E">
        <w:rPr>
          <w:rFonts w:ascii="Cabin" w:hAnsi="Cabin" w:eastAsia="Cabin" w:cs="Cabin"/>
          <w:noProof w:val="0"/>
          <w:color w:val="242424"/>
          <w:sz w:val="18"/>
          <w:szCs w:val="18"/>
          <w:lang w:val="en-US"/>
        </w:rPr>
        <w:t>1,742,242.00</w:t>
      </w:r>
      <w:r w:rsidRPr="6C37755E" w:rsidR="6C37755E">
        <w:rPr>
          <w:rFonts w:ascii="Cabin" w:hAnsi="Cabin" w:eastAsia="Cabin" w:cs="Cabin"/>
          <w:noProof w:val="0"/>
          <w:color w:val="222222"/>
          <w:sz w:val="18"/>
          <w:szCs w:val="18"/>
          <w:lang w:val="en-US"/>
        </w:rPr>
        <w:t xml:space="preserve"> with 0 percentage financed with nongovernmental sources. The contents are those of the author(s) and do not necessarily represent the official views of, nor an endorsement, by HRSA, HHS or the U.S. Government.</w:t>
      </w:r>
    </w:p>
    <w:p w:rsidRPr="009169CF" w:rsidR="00630104" w:rsidP="00BA47D0" w:rsidRDefault="00CD1995" w14:paraId="62B5EAE0" w14:textId="420EE720">
      <w:pPr/>
      <w:r>
        <w:br/>
      </w:r>
    </w:p>
    <w:p w:rsidRPr="009169CF" w:rsidR="00630104" w:rsidP="6C37755E" w:rsidRDefault="00CD1995" w14:paraId="35B2A69D" w14:textId="38E5FEF5">
      <w:pPr>
        <w:pStyle w:val="Normal"/>
        <w:rPr>
          <w:i w:val="1"/>
          <w:iCs w:val="1"/>
          <w:sz w:val="18"/>
          <w:szCs w:val="18"/>
        </w:rPr>
      </w:pPr>
    </w:p>
    <w:sectPr w:rsidRPr="009169CF" w:rsidR="00630104" w:rsidSect="00620239">
      <w:type w:val="continuous"/>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834" w:rsidP="00BA47D0" w:rsidRDefault="002D4834" w14:paraId="22042E7B" w14:textId="77777777">
      <w:r>
        <w:separator/>
      </w:r>
    </w:p>
  </w:endnote>
  <w:endnote w:type="continuationSeparator" w:id="0">
    <w:p w:rsidR="002D4834" w:rsidP="00BA47D0" w:rsidRDefault="002D4834" w14:paraId="36FC11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panose1 w:val="00000000000000000000"/>
    <w:charset w:val="00"/>
    <w:family w:val="auto"/>
    <w:pitch w:val="variable"/>
    <w:sig w:usb0="A00000FF" w:usb1="0000204B" w:usb2="00000000" w:usb3="00000000" w:csb0="00000193"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Condensed SemiBold">
    <w:altName w:val="Calibri"/>
    <w:charset w:val="00"/>
    <w:family w:val="auto"/>
    <w:pitch w:val="variable"/>
    <w:sig w:usb0="A00000FF" w:usb1="0000204B" w:usb2="00000000" w:usb3="00000000" w:csb0="00000193" w:csb1="00000000"/>
  </w:font>
  <w:font w:name="Roboto Light">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CA0593" w14:paraId="43E60810" w14:textId="77777777">
      <w:trPr>
        <w:trHeight w:val="115" w:hRule="exact"/>
        <w:jc w:val="center"/>
      </w:trPr>
      <w:tc>
        <w:tcPr>
          <w:tcW w:w="4686" w:type="dxa"/>
          <w:shd w:val="clear" w:color="auto" w:fill="4391C6" w:themeFill="accent1"/>
          <w:tcMar>
            <w:top w:w="0" w:type="dxa"/>
            <w:bottom w:w="0" w:type="dxa"/>
          </w:tcMar>
        </w:tcPr>
        <w:p w:rsidR="00CA0593" w:rsidP="00BA47D0" w:rsidRDefault="00CA0593" w14:paraId="03252878" w14:textId="77777777">
          <w:pPr>
            <w:pStyle w:val="Header"/>
          </w:pPr>
        </w:p>
      </w:tc>
      <w:tc>
        <w:tcPr>
          <w:tcW w:w="4674" w:type="dxa"/>
          <w:shd w:val="clear" w:color="auto" w:fill="4391C6" w:themeFill="accent1"/>
          <w:tcMar>
            <w:top w:w="0" w:type="dxa"/>
            <w:bottom w:w="0" w:type="dxa"/>
          </w:tcMar>
        </w:tcPr>
        <w:p w:rsidR="00CA0593" w:rsidP="00BA47D0" w:rsidRDefault="00CA0593" w14:paraId="438E447B" w14:textId="77777777">
          <w:pPr>
            <w:pStyle w:val="Header"/>
          </w:pPr>
        </w:p>
      </w:tc>
    </w:tr>
    <w:tr w:rsidR="00CA0593" w14:paraId="7BBF1606" w14:textId="77777777">
      <w:trPr>
        <w:jc w:val="center"/>
      </w:trPr>
      <w:sdt>
        <w:sdtPr>
          <w:alias w:val="Author"/>
          <w:tag w:val=""/>
          <w:id w:val="1534151868"/>
          <w:placeholder>
            <w:docPart w:val="CF3B4FE5EC3540BCAE60EF7A71E7ECE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CA0593" w:rsidP="00BA47D0" w:rsidRDefault="00CA0593" w14:paraId="6AD03570" w14:textId="0118243F">
              <w:pPr>
                <w:pStyle w:val="Footer"/>
              </w:pPr>
              <w:r>
                <w:t>NCFH 202</w:t>
              </w:r>
              <w:r w:rsidR="00D81129">
                <w:t>2</w:t>
              </w:r>
            </w:p>
          </w:tc>
        </w:sdtContent>
      </w:sdt>
      <w:tc>
        <w:tcPr>
          <w:tcW w:w="4674" w:type="dxa"/>
          <w:shd w:val="clear" w:color="auto" w:fill="auto"/>
          <w:vAlign w:val="center"/>
        </w:tcPr>
        <w:p w:rsidR="00CA0593" w:rsidP="00BA47D0" w:rsidRDefault="00CA0593" w14:paraId="509EEB8B" w14:textId="25555ABD">
          <w:pPr>
            <w:pStyle w:val="Footer"/>
          </w:pPr>
          <w:r>
            <w:fldChar w:fldCharType="begin"/>
          </w:r>
          <w:r>
            <w:instrText xml:space="preserve"> PAGE   \* MERGEFORMAT </w:instrText>
          </w:r>
          <w:r>
            <w:fldChar w:fldCharType="separate"/>
          </w:r>
          <w:r w:rsidR="00AF0BD8">
            <w:rPr>
              <w:noProof/>
            </w:rPr>
            <w:t>4</w:t>
          </w:r>
          <w:r>
            <w:rPr>
              <w:noProof/>
            </w:rPr>
            <w:fldChar w:fldCharType="end"/>
          </w:r>
        </w:p>
      </w:tc>
    </w:tr>
  </w:tbl>
  <w:p w:rsidR="00962472" w:rsidP="00BA47D0" w:rsidRDefault="00962472" w14:paraId="6F23EE63" w14:textId="12980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834" w:rsidP="00BA47D0" w:rsidRDefault="002D4834" w14:paraId="411A0F6F" w14:textId="77777777">
      <w:r>
        <w:separator/>
      </w:r>
    </w:p>
  </w:footnote>
  <w:footnote w:type="continuationSeparator" w:id="0">
    <w:p w:rsidR="002D4834" w:rsidP="00BA47D0" w:rsidRDefault="002D4834" w14:paraId="5F585FD6" w14:textId="77777777">
      <w:r>
        <w:continuationSeparator/>
      </w:r>
    </w:p>
  </w:footnote>
  <w:footnote w:id="1">
    <w:p w:rsidR="00E00E1A" w:rsidRDefault="00E00E1A" w14:paraId="1D2B285E" w14:textId="3182F7DF">
      <w:pPr>
        <w:pStyle w:val="FootnoteText"/>
      </w:pPr>
      <w:r w:rsidRPr="0044555C">
        <w:rPr>
          <w:rStyle w:val="FootnoteReference"/>
        </w:rPr>
        <w:footnoteRef/>
      </w:r>
      <w:r>
        <w:t xml:space="preserve"> This analysis utilizes the National Agricultural Workers Survey public access data from fiscal years 2011-20</w:t>
      </w:r>
      <w:r w:rsidR="00A267D3">
        <w:t>20</w:t>
      </w:r>
      <w:r>
        <w:t>. The data can be retrieved from</w:t>
      </w:r>
      <w:r w:rsidR="00D53F03">
        <w:t xml:space="preserve"> </w:t>
      </w:r>
      <w:hyperlink w:history="1" r:id="rId1">
        <w:r w:rsidRPr="00DE4FE6" w:rsidR="00D53F03">
          <w:rPr>
            <w:rStyle w:val="Hyperlink"/>
          </w:rPr>
          <w:t>https://www.dol.gov/agencies/eta/national-agricultural-workers-survey</w:t>
        </w:r>
      </w:hyperlink>
      <w:r>
        <w:t xml:space="preserve"> . All percentages have been rounded to the nearest whole number, except for percentages below 1%. Only results equal to or greater than 1% were reported.</w:t>
      </w:r>
    </w:p>
  </w:footnote>
  <w:footnote w:id="2">
    <w:p w:rsidR="00D265D8" w:rsidRDefault="00D265D8" w14:paraId="041A2DFB" w14:textId="4E8963BB">
      <w:pPr>
        <w:pStyle w:val="FootnoteText"/>
      </w:pPr>
      <w:r w:rsidRPr="0044555C">
        <w:rPr>
          <w:rStyle w:val="FootnoteReference"/>
        </w:rPr>
        <w:footnoteRef/>
      </w:r>
      <w:r>
        <w:t xml:space="preserve"> See NCFH H-2A fact sheet for more demographic and o</w:t>
      </w:r>
      <w:r w:rsidR="00E66D52">
        <w:t>t</w:t>
      </w:r>
      <w:r>
        <w:t xml:space="preserve">her data on H-2A agricultural workers: </w:t>
      </w:r>
      <w:hyperlink w:history="1" r:id="rId2">
        <w:r w:rsidRPr="0089132E">
          <w:rPr>
            <w:rStyle w:val="Hyperlink"/>
          </w:rPr>
          <w:t>http://www.ncfh.org/h-2a-guest-workers-fact-sheet.html</w:t>
        </w:r>
      </w:hyperlink>
    </w:p>
  </w:footnote>
  <w:footnote w:id="3">
    <w:p w:rsidR="0097357F" w:rsidRDefault="0097357F" w14:paraId="78902848" w14:textId="665DB702">
      <w:pPr>
        <w:pStyle w:val="FootnoteText"/>
      </w:pPr>
      <w:r w:rsidRPr="0044555C">
        <w:rPr>
          <w:rStyle w:val="FootnoteReference"/>
        </w:rPr>
        <w:footnoteRef/>
      </w:r>
      <w:r>
        <w:t xml:space="preserve"> </w:t>
      </w:r>
      <w:r w:rsidR="00E66D52">
        <w:t xml:space="preserve">NAWS supplements </w:t>
      </w:r>
      <w:r>
        <w:t>the question on primary language</w:t>
      </w:r>
      <w:r w:rsidR="00E66D52">
        <w:t xml:space="preserve"> used with </w:t>
      </w:r>
      <w:r>
        <w:t>questions that ask about all adult languages spoken as well as childhood language exposure.</w:t>
      </w:r>
      <w:r w:rsidR="00E66D52">
        <w:t xml:space="preserve"> </w:t>
      </w:r>
      <w:r>
        <w:t xml:space="preserve">The NAWS uses a combination of the responses to these questions and the question about race to identify </w:t>
      </w:r>
      <w:r w:rsidR="000B130E">
        <w:t xml:space="preserve">agricultural </w:t>
      </w:r>
      <w:r>
        <w:t>workers who are indigenous.</w:t>
      </w:r>
    </w:p>
  </w:footnote>
  <w:footnote w:id="4">
    <w:p w:rsidR="0018039F" w:rsidRDefault="0018039F" w14:paraId="0CD02179" w14:textId="1D04DA2B">
      <w:pPr>
        <w:pStyle w:val="FootnoteText"/>
      </w:pPr>
      <w:r w:rsidRPr="0044555C">
        <w:rPr>
          <w:rStyle w:val="FootnoteReference"/>
        </w:rPr>
        <w:footnoteRef/>
      </w:r>
      <w:r>
        <w:t xml:space="preserve"> The term “migratory” is defined by NAWS as a</w:t>
      </w:r>
      <w:r w:rsidRPr="009B6FFE">
        <w:rPr>
          <w:rStyle w:val="Heading2Char"/>
          <w:rFonts w:ascii="Cabin" w:hAnsi="Cabin" w:eastAsiaTheme="minorEastAsia" w:cstheme="minorBidi"/>
        </w:rPr>
        <w:t xml:space="preserve"> worker report</w:t>
      </w:r>
      <w:r>
        <w:rPr>
          <w:rStyle w:val="Heading2Char"/>
          <w:rFonts w:ascii="Cabin" w:hAnsi="Cabin" w:eastAsiaTheme="minorEastAsia" w:cstheme="minorBidi"/>
        </w:rPr>
        <w:t>ing</w:t>
      </w:r>
      <w:r w:rsidRPr="009B6FFE">
        <w:rPr>
          <w:rStyle w:val="Heading2Char"/>
          <w:rFonts w:ascii="Cabin" w:hAnsi="Cabin" w:eastAsiaTheme="minorEastAsia" w:cstheme="minorBidi"/>
        </w:rPr>
        <w:t xml:space="preserve"> agricultural jobs more than 75 miles apart or reported relocating more than 75 miles to work in agricultur</w:t>
      </w:r>
      <w:r w:rsidR="00D3195C">
        <w:rPr>
          <w:rStyle w:val="Heading2Char"/>
          <w:rFonts w:ascii="Cabin" w:hAnsi="Cabin" w:eastAsiaTheme="minorEastAsia" w:cstheme="minorBidi"/>
        </w:rPr>
        <w:t>e.</w:t>
      </w:r>
    </w:p>
  </w:footnote>
  <w:footnote w:id="5">
    <w:p w:rsidR="00C00AE0" w:rsidP="7A539D4B" w:rsidRDefault="00C00AE0" w14:paraId="0D3C34B5" w14:textId="274C0E6B">
      <w:pPr>
        <w:spacing w:line="257" w:lineRule="auto"/>
      </w:pPr>
      <w:r w:rsidRPr="0044555C">
        <w:rPr>
          <w:rStyle w:val="FootnoteReference"/>
        </w:rPr>
        <w:footnoteRef/>
      </w:r>
      <w:r>
        <w:t xml:space="preserve"> </w:t>
      </w:r>
      <w:r w:rsidRPr="7A539D4B" w:rsidR="7A539D4B">
        <w:rPr>
          <w:rFonts w:eastAsia="Cabin" w:cs="Cabin"/>
          <w:i/>
          <w:iCs/>
          <w:sz w:val="20"/>
          <w:szCs w:val="20"/>
        </w:rPr>
        <w:t xml:space="preserve">The definition of an overcrowded household follows the U.S. Census definition which is a ratio of greater than one for the ratio of persons per room (excluding bathrooms and garages). </w:t>
      </w:r>
      <w:r w:rsidRPr="7A539D4B">
        <w:rPr>
          <w:rFonts w:eastAsia="Cabin" w:cs="Cabin"/>
          <w:i/>
          <w:iCs/>
          <w:sz w:val="20"/>
          <w:szCs w:val="20"/>
        </w:rPr>
        <w:t xml:space="preserve"> </w:t>
      </w:r>
      <w:hyperlink w:history="1" r:id="rId3">
        <w:r w:rsidRPr="7A539D4B">
          <w:rPr>
            <w:rStyle w:val="Hyperlink"/>
            <w:rFonts w:eastAsia="Cabin" w:cs="Cabin"/>
            <w:i/>
            <w:iCs/>
            <w:sz w:val="20"/>
            <w:szCs w:val="20"/>
          </w:rPr>
          <w:t>https://www.census.gov/data/tables/time-series/dec/coh-crowding.html</w:t>
        </w:r>
      </w:hyperlink>
    </w:p>
  </w:footnote>
  <w:footnote w:id="6">
    <w:p w:rsidR="00A33EC4" w:rsidRDefault="00A33EC4" w14:paraId="4CE69B0D" w14:textId="2E19CB7A">
      <w:pPr>
        <w:pStyle w:val="FootnoteText"/>
      </w:pPr>
      <w:r w:rsidRPr="0044555C">
        <w:rPr>
          <w:rStyle w:val="FootnoteReference"/>
        </w:rPr>
        <w:footnoteRef/>
      </w:r>
      <w:r>
        <w:t xml:space="preserve"> </w:t>
      </w:r>
      <w:r>
        <w:rPr>
          <w:rStyle w:val="cf01"/>
        </w:rPr>
        <w:t>Piece rate and combination wages were converted to an hourly wage, then averaged with the wages of workers who were paid by the hour.</w:t>
      </w:r>
    </w:p>
  </w:footnote>
  <w:footnote w:id="7">
    <w:p w:rsidR="00AC0D02" w:rsidRDefault="00AC0D02" w14:paraId="7C66B543" w14:textId="5BFF88C0">
      <w:pPr>
        <w:pStyle w:val="FootnoteText"/>
      </w:pPr>
      <w:r w:rsidRPr="0044555C">
        <w:rPr>
          <w:rStyle w:val="FootnoteReference"/>
        </w:rPr>
        <w:footnoteRef/>
      </w:r>
      <w:r>
        <w:t xml:space="preserve"> 11% do not know if they are covered.</w:t>
      </w:r>
    </w:p>
  </w:footnote>
  <w:footnote w:id="8">
    <w:p w:rsidR="00AC0D02" w:rsidRDefault="00AC0D02" w14:paraId="06584A51" w14:textId="73C516BE">
      <w:pPr>
        <w:pStyle w:val="FootnoteText"/>
      </w:pPr>
      <w:r w:rsidRPr="0044555C">
        <w:rPr>
          <w:rStyle w:val="FootnoteReference"/>
        </w:rPr>
        <w:footnoteRef/>
      </w:r>
      <w:r>
        <w:t xml:space="preserve"> 9% do not know if they are covered.</w:t>
      </w:r>
    </w:p>
  </w:footnote>
  <w:footnote w:id="9">
    <w:p w:rsidR="46673E4B" w:rsidP="00D265D8" w:rsidRDefault="46673E4B" w14:paraId="3D2A3330" w14:textId="5C380F14">
      <w:pPr>
        <w:pStyle w:val="FootnoteText"/>
        <w:rPr>
          <w:szCs w:val="20"/>
        </w:rPr>
      </w:pPr>
      <w:r w:rsidRPr="0044555C">
        <w:rPr>
          <w:rStyle w:val="FootnoteReference"/>
        </w:rPr>
        <w:footnoteRef/>
      </w:r>
      <w:r w:rsidRPr="46673E4B">
        <w:rPr>
          <w:szCs w:val="20"/>
        </w:rPr>
        <w:t xml:space="preserve"> Percentages sum to over 100% because respondents could select all that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3239"/>
    <w:multiLevelType w:val="hybridMultilevel"/>
    <w:tmpl w:val="EC541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C243676"/>
    <w:multiLevelType w:val="hybridMultilevel"/>
    <w:tmpl w:val="DF126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583B59"/>
    <w:multiLevelType w:val="hybridMultilevel"/>
    <w:tmpl w:val="01325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4863188"/>
    <w:multiLevelType w:val="hybridMultilevel"/>
    <w:tmpl w:val="60CCDE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07F147C"/>
    <w:multiLevelType w:val="hybridMultilevel"/>
    <w:tmpl w:val="35ECF1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25267869">
    <w:abstractNumId w:val="1"/>
  </w:num>
  <w:num w:numId="2" w16cid:durableId="337931875">
    <w:abstractNumId w:val="0"/>
  </w:num>
  <w:num w:numId="3" w16cid:durableId="708795975">
    <w:abstractNumId w:val="4"/>
  </w:num>
  <w:num w:numId="4" w16cid:durableId="128018420">
    <w:abstractNumId w:val="3"/>
  </w:num>
  <w:num w:numId="5" w16cid:durableId="604578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CE"/>
    <w:rsid w:val="0000536A"/>
    <w:rsid w:val="0000596A"/>
    <w:rsid w:val="00011BA8"/>
    <w:rsid w:val="00013E79"/>
    <w:rsid w:val="0002255E"/>
    <w:rsid w:val="00023BAC"/>
    <w:rsid w:val="00024CB9"/>
    <w:rsid w:val="000312B4"/>
    <w:rsid w:val="00031A48"/>
    <w:rsid w:val="0003200D"/>
    <w:rsid w:val="00035A91"/>
    <w:rsid w:val="00041B33"/>
    <w:rsid w:val="0004689F"/>
    <w:rsid w:val="000525F6"/>
    <w:rsid w:val="000566C0"/>
    <w:rsid w:val="00076509"/>
    <w:rsid w:val="00081702"/>
    <w:rsid w:val="000A3D57"/>
    <w:rsid w:val="000B130E"/>
    <w:rsid w:val="000B60EC"/>
    <w:rsid w:val="000C160E"/>
    <w:rsid w:val="000C2CA0"/>
    <w:rsid w:val="000C7EAA"/>
    <w:rsid w:val="000D1347"/>
    <w:rsid w:val="000D43E6"/>
    <w:rsid w:val="000D6641"/>
    <w:rsid w:val="000E7A77"/>
    <w:rsid w:val="001062BD"/>
    <w:rsid w:val="00114655"/>
    <w:rsid w:val="00127E5C"/>
    <w:rsid w:val="0013389F"/>
    <w:rsid w:val="00133C35"/>
    <w:rsid w:val="00134136"/>
    <w:rsid w:val="0013457B"/>
    <w:rsid w:val="0014007A"/>
    <w:rsid w:val="00140408"/>
    <w:rsid w:val="00142B05"/>
    <w:rsid w:val="00142BE1"/>
    <w:rsid w:val="00150478"/>
    <w:rsid w:val="0015739A"/>
    <w:rsid w:val="00163C77"/>
    <w:rsid w:val="0016443D"/>
    <w:rsid w:val="0018039F"/>
    <w:rsid w:val="001A5061"/>
    <w:rsid w:val="001B0957"/>
    <w:rsid w:val="001B1F63"/>
    <w:rsid w:val="001B26F2"/>
    <w:rsid w:val="001B4A46"/>
    <w:rsid w:val="001C7CCA"/>
    <w:rsid w:val="001D1F78"/>
    <w:rsid w:val="001D6D6D"/>
    <w:rsid w:val="00201959"/>
    <w:rsid w:val="00204C85"/>
    <w:rsid w:val="00217334"/>
    <w:rsid w:val="00223A35"/>
    <w:rsid w:val="002250E5"/>
    <w:rsid w:val="0022764C"/>
    <w:rsid w:val="002306C5"/>
    <w:rsid w:val="00230BBB"/>
    <w:rsid w:val="00244E95"/>
    <w:rsid w:val="002502D7"/>
    <w:rsid w:val="00253E39"/>
    <w:rsid w:val="002566E1"/>
    <w:rsid w:val="00277FDC"/>
    <w:rsid w:val="00281CA4"/>
    <w:rsid w:val="002912E8"/>
    <w:rsid w:val="002C27D9"/>
    <w:rsid w:val="002D1D79"/>
    <w:rsid w:val="002D4834"/>
    <w:rsid w:val="002D62F4"/>
    <w:rsid w:val="002E1055"/>
    <w:rsid w:val="002E16FA"/>
    <w:rsid w:val="002E1787"/>
    <w:rsid w:val="002F02E0"/>
    <w:rsid w:val="002F2FBD"/>
    <w:rsid w:val="00303382"/>
    <w:rsid w:val="0030364C"/>
    <w:rsid w:val="00311CE3"/>
    <w:rsid w:val="00312527"/>
    <w:rsid w:val="003131A3"/>
    <w:rsid w:val="00343B61"/>
    <w:rsid w:val="00346FF3"/>
    <w:rsid w:val="003479B2"/>
    <w:rsid w:val="003535AA"/>
    <w:rsid w:val="0035569F"/>
    <w:rsid w:val="0036104C"/>
    <w:rsid w:val="00362009"/>
    <w:rsid w:val="00375B33"/>
    <w:rsid w:val="00384987"/>
    <w:rsid w:val="00387A83"/>
    <w:rsid w:val="00391223"/>
    <w:rsid w:val="00391594"/>
    <w:rsid w:val="00391883"/>
    <w:rsid w:val="003A4060"/>
    <w:rsid w:val="003A41E3"/>
    <w:rsid w:val="003C1544"/>
    <w:rsid w:val="003C2CE1"/>
    <w:rsid w:val="003C4A2A"/>
    <w:rsid w:val="003C67B4"/>
    <w:rsid w:val="003D1B27"/>
    <w:rsid w:val="003D6944"/>
    <w:rsid w:val="003F1840"/>
    <w:rsid w:val="00402883"/>
    <w:rsid w:val="00406173"/>
    <w:rsid w:val="00406560"/>
    <w:rsid w:val="004118CC"/>
    <w:rsid w:val="004175C8"/>
    <w:rsid w:val="004408E5"/>
    <w:rsid w:val="004434AE"/>
    <w:rsid w:val="0044555C"/>
    <w:rsid w:val="004563F9"/>
    <w:rsid w:val="00473752"/>
    <w:rsid w:val="0047516F"/>
    <w:rsid w:val="00476295"/>
    <w:rsid w:val="00483F56"/>
    <w:rsid w:val="00491D65"/>
    <w:rsid w:val="004967A7"/>
    <w:rsid w:val="004A6727"/>
    <w:rsid w:val="004A691F"/>
    <w:rsid w:val="004A7A75"/>
    <w:rsid w:val="004B7F25"/>
    <w:rsid w:val="004E3300"/>
    <w:rsid w:val="004F10EF"/>
    <w:rsid w:val="004F3702"/>
    <w:rsid w:val="004F4C1F"/>
    <w:rsid w:val="004F4CD6"/>
    <w:rsid w:val="004F68F7"/>
    <w:rsid w:val="004F6C2B"/>
    <w:rsid w:val="00501F44"/>
    <w:rsid w:val="00502057"/>
    <w:rsid w:val="00504BA9"/>
    <w:rsid w:val="0050620E"/>
    <w:rsid w:val="005156A0"/>
    <w:rsid w:val="00516438"/>
    <w:rsid w:val="00516BA1"/>
    <w:rsid w:val="00521240"/>
    <w:rsid w:val="005220F4"/>
    <w:rsid w:val="005222CC"/>
    <w:rsid w:val="005224E1"/>
    <w:rsid w:val="00527056"/>
    <w:rsid w:val="00531F96"/>
    <w:rsid w:val="00533DDF"/>
    <w:rsid w:val="00534FA7"/>
    <w:rsid w:val="0054366D"/>
    <w:rsid w:val="00544F50"/>
    <w:rsid w:val="005469F7"/>
    <w:rsid w:val="005550EC"/>
    <w:rsid w:val="005703F9"/>
    <w:rsid w:val="0057403F"/>
    <w:rsid w:val="00584849"/>
    <w:rsid w:val="00592E32"/>
    <w:rsid w:val="00592F38"/>
    <w:rsid w:val="005B29CF"/>
    <w:rsid w:val="005B4C49"/>
    <w:rsid w:val="005B7844"/>
    <w:rsid w:val="005C1D04"/>
    <w:rsid w:val="005C529A"/>
    <w:rsid w:val="005C53C7"/>
    <w:rsid w:val="005C7804"/>
    <w:rsid w:val="005D4C0F"/>
    <w:rsid w:val="005E47DF"/>
    <w:rsid w:val="005E5918"/>
    <w:rsid w:val="005E71E5"/>
    <w:rsid w:val="006009E0"/>
    <w:rsid w:val="006065E9"/>
    <w:rsid w:val="00620239"/>
    <w:rsid w:val="00630104"/>
    <w:rsid w:val="00641E12"/>
    <w:rsid w:val="006468D3"/>
    <w:rsid w:val="00654C6A"/>
    <w:rsid w:val="006701BD"/>
    <w:rsid w:val="00670D76"/>
    <w:rsid w:val="00672852"/>
    <w:rsid w:val="006746C0"/>
    <w:rsid w:val="0068264A"/>
    <w:rsid w:val="0068330C"/>
    <w:rsid w:val="0068542E"/>
    <w:rsid w:val="006A4E20"/>
    <w:rsid w:val="006B4A6A"/>
    <w:rsid w:val="006B649A"/>
    <w:rsid w:val="006C3EB0"/>
    <w:rsid w:val="006D3453"/>
    <w:rsid w:val="006D4EF3"/>
    <w:rsid w:val="006E2B47"/>
    <w:rsid w:val="00703C1D"/>
    <w:rsid w:val="00705964"/>
    <w:rsid w:val="00711507"/>
    <w:rsid w:val="00711D81"/>
    <w:rsid w:val="00714A73"/>
    <w:rsid w:val="00716DC2"/>
    <w:rsid w:val="00722355"/>
    <w:rsid w:val="00723CD6"/>
    <w:rsid w:val="00724EDE"/>
    <w:rsid w:val="00730089"/>
    <w:rsid w:val="00730CEE"/>
    <w:rsid w:val="00733F96"/>
    <w:rsid w:val="007373CD"/>
    <w:rsid w:val="007462A0"/>
    <w:rsid w:val="007520D3"/>
    <w:rsid w:val="007523A5"/>
    <w:rsid w:val="00753E4E"/>
    <w:rsid w:val="00767FC7"/>
    <w:rsid w:val="0078353B"/>
    <w:rsid w:val="0078642E"/>
    <w:rsid w:val="0079220A"/>
    <w:rsid w:val="007B046B"/>
    <w:rsid w:val="007B43BD"/>
    <w:rsid w:val="007C6705"/>
    <w:rsid w:val="007D11CA"/>
    <w:rsid w:val="007D148D"/>
    <w:rsid w:val="007D2798"/>
    <w:rsid w:val="007D59D9"/>
    <w:rsid w:val="007D5F53"/>
    <w:rsid w:val="007D6CC3"/>
    <w:rsid w:val="007F1367"/>
    <w:rsid w:val="007F6AEF"/>
    <w:rsid w:val="00801D15"/>
    <w:rsid w:val="00804000"/>
    <w:rsid w:val="00807430"/>
    <w:rsid w:val="00837300"/>
    <w:rsid w:val="008468B4"/>
    <w:rsid w:val="00854BF7"/>
    <w:rsid w:val="00854C4D"/>
    <w:rsid w:val="008558B1"/>
    <w:rsid w:val="00865228"/>
    <w:rsid w:val="00881346"/>
    <w:rsid w:val="00883FE5"/>
    <w:rsid w:val="00892B62"/>
    <w:rsid w:val="00893D97"/>
    <w:rsid w:val="00897074"/>
    <w:rsid w:val="008A75A0"/>
    <w:rsid w:val="008B6714"/>
    <w:rsid w:val="008B6B8F"/>
    <w:rsid w:val="008C3DEC"/>
    <w:rsid w:val="008F5F3D"/>
    <w:rsid w:val="008F644A"/>
    <w:rsid w:val="00904DCA"/>
    <w:rsid w:val="00907CA2"/>
    <w:rsid w:val="009169CF"/>
    <w:rsid w:val="00922F64"/>
    <w:rsid w:val="00932522"/>
    <w:rsid w:val="0093487D"/>
    <w:rsid w:val="00937AF4"/>
    <w:rsid w:val="009429B3"/>
    <w:rsid w:val="00950452"/>
    <w:rsid w:val="009510C1"/>
    <w:rsid w:val="00956255"/>
    <w:rsid w:val="009573C2"/>
    <w:rsid w:val="00957D34"/>
    <w:rsid w:val="00962472"/>
    <w:rsid w:val="009677EA"/>
    <w:rsid w:val="00967B0F"/>
    <w:rsid w:val="00967F17"/>
    <w:rsid w:val="0097357F"/>
    <w:rsid w:val="0097524C"/>
    <w:rsid w:val="00985E1A"/>
    <w:rsid w:val="009B1EC5"/>
    <w:rsid w:val="009B6FFE"/>
    <w:rsid w:val="009C0C32"/>
    <w:rsid w:val="009C1BDC"/>
    <w:rsid w:val="009C219B"/>
    <w:rsid w:val="009E6DD7"/>
    <w:rsid w:val="009F45B1"/>
    <w:rsid w:val="00A05224"/>
    <w:rsid w:val="00A17434"/>
    <w:rsid w:val="00A21C38"/>
    <w:rsid w:val="00A267D3"/>
    <w:rsid w:val="00A300AE"/>
    <w:rsid w:val="00A31949"/>
    <w:rsid w:val="00A3220C"/>
    <w:rsid w:val="00A33EC4"/>
    <w:rsid w:val="00A36264"/>
    <w:rsid w:val="00A42C9C"/>
    <w:rsid w:val="00A451F4"/>
    <w:rsid w:val="00A4597B"/>
    <w:rsid w:val="00A459C8"/>
    <w:rsid w:val="00A50D65"/>
    <w:rsid w:val="00A6465B"/>
    <w:rsid w:val="00A6731D"/>
    <w:rsid w:val="00A800B6"/>
    <w:rsid w:val="00A81D58"/>
    <w:rsid w:val="00A84AC9"/>
    <w:rsid w:val="00A862C0"/>
    <w:rsid w:val="00A87C4D"/>
    <w:rsid w:val="00A92D91"/>
    <w:rsid w:val="00A930E7"/>
    <w:rsid w:val="00A97222"/>
    <w:rsid w:val="00AB1F51"/>
    <w:rsid w:val="00AB35CD"/>
    <w:rsid w:val="00AC025A"/>
    <w:rsid w:val="00AC04E4"/>
    <w:rsid w:val="00AC0822"/>
    <w:rsid w:val="00AC0D02"/>
    <w:rsid w:val="00AC6B59"/>
    <w:rsid w:val="00AE7F36"/>
    <w:rsid w:val="00AF097F"/>
    <w:rsid w:val="00AF0BD8"/>
    <w:rsid w:val="00AF12FB"/>
    <w:rsid w:val="00AF3009"/>
    <w:rsid w:val="00AF3897"/>
    <w:rsid w:val="00B00997"/>
    <w:rsid w:val="00B02A1F"/>
    <w:rsid w:val="00B12BB2"/>
    <w:rsid w:val="00B2522D"/>
    <w:rsid w:val="00B37D0A"/>
    <w:rsid w:val="00B409BA"/>
    <w:rsid w:val="00B46AEE"/>
    <w:rsid w:val="00B47B5A"/>
    <w:rsid w:val="00B5123E"/>
    <w:rsid w:val="00B5185B"/>
    <w:rsid w:val="00B530F3"/>
    <w:rsid w:val="00B772EF"/>
    <w:rsid w:val="00B851B5"/>
    <w:rsid w:val="00B86CEC"/>
    <w:rsid w:val="00BA47D0"/>
    <w:rsid w:val="00BB5B87"/>
    <w:rsid w:val="00BC01C8"/>
    <w:rsid w:val="00BC5650"/>
    <w:rsid w:val="00BC6CD8"/>
    <w:rsid w:val="00BD2B32"/>
    <w:rsid w:val="00BD42AE"/>
    <w:rsid w:val="00BD4D31"/>
    <w:rsid w:val="00BE760F"/>
    <w:rsid w:val="00BF4F19"/>
    <w:rsid w:val="00C00516"/>
    <w:rsid w:val="00C00AE0"/>
    <w:rsid w:val="00C00D82"/>
    <w:rsid w:val="00C03A13"/>
    <w:rsid w:val="00C1221E"/>
    <w:rsid w:val="00C13F47"/>
    <w:rsid w:val="00C208BD"/>
    <w:rsid w:val="00C27DDC"/>
    <w:rsid w:val="00C31D8F"/>
    <w:rsid w:val="00C4111D"/>
    <w:rsid w:val="00C41F23"/>
    <w:rsid w:val="00C44876"/>
    <w:rsid w:val="00C5282F"/>
    <w:rsid w:val="00C55BDA"/>
    <w:rsid w:val="00C55CED"/>
    <w:rsid w:val="00C57CE3"/>
    <w:rsid w:val="00C745AB"/>
    <w:rsid w:val="00C84A1E"/>
    <w:rsid w:val="00C96C57"/>
    <w:rsid w:val="00C97B95"/>
    <w:rsid w:val="00CA0593"/>
    <w:rsid w:val="00CA0B21"/>
    <w:rsid w:val="00CA3661"/>
    <w:rsid w:val="00CA6B70"/>
    <w:rsid w:val="00CA746C"/>
    <w:rsid w:val="00CB017D"/>
    <w:rsid w:val="00CB1247"/>
    <w:rsid w:val="00CB131E"/>
    <w:rsid w:val="00CB6A41"/>
    <w:rsid w:val="00CB7958"/>
    <w:rsid w:val="00CC5DE9"/>
    <w:rsid w:val="00CC75C7"/>
    <w:rsid w:val="00CD1995"/>
    <w:rsid w:val="00CD4E15"/>
    <w:rsid w:val="00CE5891"/>
    <w:rsid w:val="00CF11AE"/>
    <w:rsid w:val="00CF46B7"/>
    <w:rsid w:val="00CF4CAC"/>
    <w:rsid w:val="00CF50CE"/>
    <w:rsid w:val="00CF5789"/>
    <w:rsid w:val="00CF6A7C"/>
    <w:rsid w:val="00D007C1"/>
    <w:rsid w:val="00D00F3E"/>
    <w:rsid w:val="00D0106E"/>
    <w:rsid w:val="00D02D47"/>
    <w:rsid w:val="00D06276"/>
    <w:rsid w:val="00D07A03"/>
    <w:rsid w:val="00D07E87"/>
    <w:rsid w:val="00D12003"/>
    <w:rsid w:val="00D22EE2"/>
    <w:rsid w:val="00D265D8"/>
    <w:rsid w:val="00D3195C"/>
    <w:rsid w:val="00D405E6"/>
    <w:rsid w:val="00D415D4"/>
    <w:rsid w:val="00D53F03"/>
    <w:rsid w:val="00D62B7E"/>
    <w:rsid w:val="00D81129"/>
    <w:rsid w:val="00D90F72"/>
    <w:rsid w:val="00DA5869"/>
    <w:rsid w:val="00DB155B"/>
    <w:rsid w:val="00DB236A"/>
    <w:rsid w:val="00DD3588"/>
    <w:rsid w:val="00DD41AE"/>
    <w:rsid w:val="00DE0211"/>
    <w:rsid w:val="00DE2087"/>
    <w:rsid w:val="00DE31C4"/>
    <w:rsid w:val="00DE4368"/>
    <w:rsid w:val="00DE58A7"/>
    <w:rsid w:val="00DE63D4"/>
    <w:rsid w:val="00DE71BA"/>
    <w:rsid w:val="00DF7D56"/>
    <w:rsid w:val="00E00E1A"/>
    <w:rsid w:val="00E01228"/>
    <w:rsid w:val="00E03E48"/>
    <w:rsid w:val="00E12101"/>
    <w:rsid w:val="00E15342"/>
    <w:rsid w:val="00E23B60"/>
    <w:rsid w:val="00E3118B"/>
    <w:rsid w:val="00E421A0"/>
    <w:rsid w:val="00E6449C"/>
    <w:rsid w:val="00E6638B"/>
    <w:rsid w:val="00E66D52"/>
    <w:rsid w:val="00E67EF1"/>
    <w:rsid w:val="00E7095F"/>
    <w:rsid w:val="00E7501D"/>
    <w:rsid w:val="00E76C03"/>
    <w:rsid w:val="00E961EA"/>
    <w:rsid w:val="00EA1E0D"/>
    <w:rsid w:val="00EA2B57"/>
    <w:rsid w:val="00EA7C28"/>
    <w:rsid w:val="00EB3BE9"/>
    <w:rsid w:val="00EB64C5"/>
    <w:rsid w:val="00EC1479"/>
    <w:rsid w:val="00EC46AF"/>
    <w:rsid w:val="00EC5DE7"/>
    <w:rsid w:val="00EC72B8"/>
    <w:rsid w:val="00ED477E"/>
    <w:rsid w:val="00EE3766"/>
    <w:rsid w:val="00EE6E29"/>
    <w:rsid w:val="00EF461C"/>
    <w:rsid w:val="00EF4E38"/>
    <w:rsid w:val="00EF77B4"/>
    <w:rsid w:val="00EF7934"/>
    <w:rsid w:val="00EF796D"/>
    <w:rsid w:val="00EF7E09"/>
    <w:rsid w:val="00F0391D"/>
    <w:rsid w:val="00F05E5C"/>
    <w:rsid w:val="00F07690"/>
    <w:rsid w:val="00F12D29"/>
    <w:rsid w:val="00F17BDB"/>
    <w:rsid w:val="00F22269"/>
    <w:rsid w:val="00F24B11"/>
    <w:rsid w:val="00F26C4B"/>
    <w:rsid w:val="00F34EB3"/>
    <w:rsid w:val="00F3602E"/>
    <w:rsid w:val="00F42940"/>
    <w:rsid w:val="00F44F12"/>
    <w:rsid w:val="00F47FF6"/>
    <w:rsid w:val="00F641C6"/>
    <w:rsid w:val="00F7041C"/>
    <w:rsid w:val="00F77C2F"/>
    <w:rsid w:val="00F83F44"/>
    <w:rsid w:val="00F84A2B"/>
    <w:rsid w:val="00F90B51"/>
    <w:rsid w:val="00F92DA9"/>
    <w:rsid w:val="00FA0B8C"/>
    <w:rsid w:val="00FA6EF7"/>
    <w:rsid w:val="00FB75B2"/>
    <w:rsid w:val="00FB78D1"/>
    <w:rsid w:val="00FC2329"/>
    <w:rsid w:val="00FC49B0"/>
    <w:rsid w:val="00FC5EEB"/>
    <w:rsid w:val="00FD5CDD"/>
    <w:rsid w:val="00FD5FD5"/>
    <w:rsid w:val="00FE10E3"/>
    <w:rsid w:val="00FE2374"/>
    <w:rsid w:val="00FE298D"/>
    <w:rsid w:val="00FE3C76"/>
    <w:rsid w:val="00FF1144"/>
    <w:rsid w:val="00FF2E87"/>
    <w:rsid w:val="00FF7430"/>
    <w:rsid w:val="0BE8416D"/>
    <w:rsid w:val="111542B5"/>
    <w:rsid w:val="12D4C97F"/>
    <w:rsid w:val="18118333"/>
    <w:rsid w:val="199A09F8"/>
    <w:rsid w:val="1F06F6A4"/>
    <w:rsid w:val="21FC12D4"/>
    <w:rsid w:val="31441C1A"/>
    <w:rsid w:val="3982EA17"/>
    <w:rsid w:val="46673E4B"/>
    <w:rsid w:val="48DDD17B"/>
    <w:rsid w:val="4AF64FF7"/>
    <w:rsid w:val="4E359BBE"/>
    <w:rsid w:val="5D7B0CBB"/>
    <w:rsid w:val="5FE1D6EA"/>
    <w:rsid w:val="631DDE9A"/>
    <w:rsid w:val="6808B1B2"/>
    <w:rsid w:val="6C37755E"/>
    <w:rsid w:val="6C947E7E"/>
    <w:rsid w:val="723E4733"/>
    <w:rsid w:val="72F39EFC"/>
    <w:rsid w:val="73E8812F"/>
    <w:rsid w:val="745ADA47"/>
    <w:rsid w:val="74D88999"/>
    <w:rsid w:val="770A21BD"/>
    <w:rsid w:val="7A539D4B"/>
    <w:rsid w:val="7AA66C95"/>
    <w:rsid w:val="7C0F8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B95A7"/>
  <w15:docId w15:val="{65C9D7E7-F617-47C4-ACD6-92F6557C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47D0"/>
    <w:rPr>
      <w:rFonts w:ascii="Cabin" w:hAnsi="Cabin"/>
    </w:rPr>
  </w:style>
  <w:style w:type="paragraph" w:styleId="Heading1">
    <w:name w:val="heading 1"/>
    <w:next w:val="Normal"/>
    <w:link w:val="Heading1Char"/>
    <w:uiPriority w:val="9"/>
    <w:qFormat/>
    <w:rsid w:val="001D1F78"/>
    <w:pPr>
      <w:keepNext/>
      <w:keepLines/>
      <w:spacing w:before="240"/>
      <w:outlineLvl w:val="0"/>
    </w:pPr>
    <w:rPr>
      <w:rFonts w:ascii="Cabin" w:hAnsi="Cabin" w:eastAsiaTheme="majorEastAsia" w:cstheme="majorBidi"/>
      <w:caps/>
    </w:rPr>
  </w:style>
  <w:style w:type="paragraph" w:styleId="Heading2">
    <w:name w:val="heading 2"/>
    <w:basedOn w:val="Normal"/>
    <w:next w:val="Normal"/>
    <w:link w:val="Heading2Char"/>
    <w:uiPriority w:val="9"/>
    <w:unhideWhenUsed/>
    <w:qFormat/>
    <w:rsid w:val="00CD1995"/>
    <w:pPr>
      <w:keepNext/>
      <w:keepLines/>
      <w:spacing w:before="200"/>
      <w:outlineLvl w:val="1"/>
    </w:pPr>
    <w:rPr>
      <w:rFonts w:ascii="Roboto" w:hAnsi="Roboto" w:eastAsiaTheme="majorEastAsia" w:cstheme="majorBidi"/>
      <w:bCs/>
      <w:szCs w:val="26"/>
    </w:rPr>
  </w:style>
  <w:style w:type="paragraph" w:styleId="Heading3">
    <w:name w:val="heading 3"/>
    <w:basedOn w:val="Normal"/>
    <w:next w:val="Normal"/>
    <w:link w:val="Heading3Char"/>
    <w:uiPriority w:val="9"/>
    <w:unhideWhenUsed/>
    <w:qFormat/>
    <w:rsid w:val="003C4A2A"/>
    <w:pPr>
      <w:keepNext/>
      <w:keepLines/>
      <w:spacing w:before="200"/>
      <w:outlineLvl w:val="2"/>
    </w:pPr>
    <w:rPr>
      <w:rFonts w:asciiTheme="majorHAnsi" w:hAnsiTheme="majorHAnsi" w:eastAsiaTheme="majorEastAsia" w:cstheme="majorBidi"/>
      <w:b/>
      <w:bCs/>
      <w:color w:val="4391C6" w:themeColor="accent1"/>
    </w:rPr>
  </w:style>
  <w:style w:type="paragraph" w:styleId="Heading4">
    <w:name w:val="heading 4"/>
    <w:basedOn w:val="Normal"/>
    <w:next w:val="Normal"/>
    <w:link w:val="Heading4Char"/>
    <w:uiPriority w:val="9"/>
    <w:semiHidden/>
    <w:unhideWhenUsed/>
    <w:qFormat/>
    <w:rsid w:val="003C4A2A"/>
    <w:pPr>
      <w:keepNext/>
      <w:keepLines/>
      <w:spacing w:before="200"/>
      <w:outlineLvl w:val="3"/>
    </w:pPr>
    <w:rPr>
      <w:rFonts w:asciiTheme="majorHAnsi" w:hAnsiTheme="majorHAnsi" w:eastAsiaTheme="majorEastAsia" w:cstheme="majorBidi"/>
      <w:b/>
      <w:bCs/>
      <w:i/>
      <w:iCs/>
      <w:color w:val="4391C6" w:themeColor="accent1"/>
    </w:rPr>
  </w:style>
  <w:style w:type="paragraph" w:styleId="Heading5">
    <w:name w:val="heading 5"/>
    <w:basedOn w:val="Normal"/>
    <w:next w:val="Normal"/>
    <w:link w:val="Heading5Char"/>
    <w:uiPriority w:val="9"/>
    <w:semiHidden/>
    <w:unhideWhenUsed/>
    <w:qFormat/>
    <w:rsid w:val="003C4A2A"/>
    <w:pPr>
      <w:keepNext/>
      <w:keepLines/>
      <w:spacing w:before="200"/>
      <w:outlineLvl w:val="4"/>
    </w:pPr>
    <w:rPr>
      <w:rFonts w:asciiTheme="majorHAnsi" w:hAnsiTheme="majorHAnsi" w:eastAsiaTheme="majorEastAsia" w:cstheme="majorBidi"/>
      <w:color w:val="1E4865" w:themeColor="accent1" w:themeShade="7F"/>
    </w:rPr>
  </w:style>
  <w:style w:type="paragraph" w:styleId="Heading6">
    <w:name w:val="heading 6"/>
    <w:basedOn w:val="Normal"/>
    <w:next w:val="Normal"/>
    <w:link w:val="Heading6Char"/>
    <w:uiPriority w:val="9"/>
    <w:semiHidden/>
    <w:unhideWhenUsed/>
    <w:qFormat/>
    <w:rsid w:val="003C4A2A"/>
    <w:pPr>
      <w:keepNext/>
      <w:keepLines/>
      <w:spacing w:before="200"/>
      <w:outlineLvl w:val="5"/>
    </w:pPr>
    <w:rPr>
      <w:rFonts w:asciiTheme="majorHAnsi" w:hAnsiTheme="majorHAnsi" w:eastAsiaTheme="majorEastAsia" w:cstheme="majorBidi"/>
      <w:i/>
      <w:iCs/>
      <w:color w:val="1E4865" w:themeColor="accent1" w:themeShade="7F"/>
    </w:rPr>
  </w:style>
  <w:style w:type="paragraph" w:styleId="Heading7">
    <w:name w:val="heading 7"/>
    <w:basedOn w:val="Normal"/>
    <w:next w:val="Normal"/>
    <w:link w:val="Heading7Char"/>
    <w:uiPriority w:val="9"/>
    <w:semiHidden/>
    <w:unhideWhenUsed/>
    <w:qFormat/>
    <w:rsid w:val="003C4A2A"/>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C4A2A"/>
    <w:pPr>
      <w:keepNext/>
      <w:keepLines/>
      <w:spacing w:before="200"/>
      <w:outlineLvl w:val="7"/>
    </w:pPr>
    <w:rPr>
      <w:rFonts w:asciiTheme="majorHAnsi" w:hAnsiTheme="majorHAnsi" w:eastAsiaTheme="majorEastAsia" w:cstheme="majorBidi"/>
      <w:color w:val="4391C6" w:themeColor="accent1"/>
      <w:sz w:val="20"/>
      <w:szCs w:val="20"/>
    </w:rPr>
  </w:style>
  <w:style w:type="paragraph" w:styleId="Heading9">
    <w:name w:val="heading 9"/>
    <w:basedOn w:val="Normal"/>
    <w:next w:val="Normal"/>
    <w:link w:val="Heading9Char"/>
    <w:uiPriority w:val="9"/>
    <w:semiHidden/>
    <w:unhideWhenUsed/>
    <w:qFormat/>
    <w:rsid w:val="003C4A2A"/>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4A2A"/>
    <w:pPr>
      <w:ind w:left="720"/>
      <w:contextualSpacing/>
    </w:pPr>
  </w:style>
  <w:style w:type="character" w:styleId="Heading1Char" w:customStyle="1">
    <w:name w:val="Heading 1 Char"/>
    <w:basedOn w:val="DefaultParagraphFont"/>
    <w:link w:val="Heading1"/>
    <w:uiPriority w:val="9"/>
    <w:rsid w:val="001D1F78"/>
    <w:rPr>
      <w:rFonts w:ascii="Cabin" w:hAnsi="Cabin" w:eastAsiaTheme="majorEastAsia" w:cstheme="majorBidi"/>
      <w:caps/>
    </w:rPr>
  </w:style>
  <w:style w:type="character" w:styleId="Heading2Char" w:customStyle="1">
    <w:name w:val="Heading 2 Char"/>
    <w:basedOn w:val="DefaultParagraphFont"/>
    <w:link w:val="Heading2"/>
    <w:uiPriority w:val="9"/>
    <w:rsid w:val="00CD1995"/>
    <w:rPr>
      <w:rFonts w:ascii="Roboto" w:hAnsi="Roboto" w:eastAsiaTheme="majorEastAsia" w:cstheme="majorBidi"/>
      <w:bCs/>
      <w:szCs w:val="26"/>
    </w:rPr>
  </w:style>
  <w:style w:type="character" w:styleId="Heading3Char" w:customStyle="1">
    <w:name w:val="Heading 3 Char"/>
    <w:basedOn w:val="DefaultParagraphFont"/>
    <w:link w:val="Heading3"/>
    <w:uiPriority w:val="9"/>
    <w:rsid w:val="003C4A2A"/>
    <w:rPr>
      <w:rFonts w:asciiTheme="majorHAnsi" w:hAnsiTheme="majorHAnsi" w:eastAsiaTheme="majorEastAsia" w:cstheme="majorBidi"/>
      <w:b/>
      <w:bCs/>
      <w:color w:val="4391C6" w:themeColor="accent1"/>
    </w:rPr>
  </w:style>
  <w:style w:type="character" w:styleId="Heading4Char" w:customStyle="1">
    <w:name w:val="Heading 4 Char"/>
    <w:basedOn w:val="DefaultParagraphFont"/>
    <w:link w:val="Heading4"/>
    <w:uiPriority w:val="9"/>
    <w:semiHidden/>
    <w:rsid w:val="003C4A2A"/>
    <w:rPr>
      <w:rFonts w:asciiTheme="majorHAnsi" w:hAnsiTheme="majorHAnsi" w:eastAsiaTheme="majorEastAsia" w:cstheme="majorBidi"/>
      <w:b/>
      <w:bCs/>
      <w:i/>
      <w:iCs/>
      <w:color w:val="4391C6" w:themeColor="accent1"/>
    </w:rPr>
  </w:style>
  <w:style w:type="character" w:styleId="Heading5Char" w:customStyle="1">
    <w:name w:val="Heading 5 Char"/>
    <w:basedOn w:val="DefaultParagraphFont"/>
    <w:link w:val="Heading5"/>
    <w:uiPriority w:val="9"/>
    <w:semiHidden/>
    <w:rsid w:val="003C4A2A"/>
    <w:rPr>
      <w:rFonts w:asciiTheme="majorHAnsi" w:hAnsiTheme="majorHAnsi" w:eastAsiaTheme="majorEastAsia" w:cstheme="majorBidi"/>
      <w:color w:val="1E4865" w:themeColor="accent1" w:themeShade="7F"/>
    </w:rPr>
  </w:style>
  <w:style w:type="character" w:styleId="Heading6Char" w:customStyle="1">
    <w:name w:val="Heading 6 Char"/>
    <w:basedOn w:val="DefaultParagraphFont"/>
    <w:link w:val="Heading6"/>
    <w:uiPriority w:val="9"/>
    <w:semiHidden/>
    <w:rsid w:val="003C4A2A"/>
    <w:rPr>
      <w:rFonts w:asciiTheme="majorHAnsi" w:hAnsiTheme="majorHAnsi" w:eastAsiaTheme="majorEastAsia" w:cstheme="majorBidi"/>
      <w:i/>
      <w:iCs/>
      <w:color w:val="1E4865" w:themeColor="accent1" w:themeShade="7F"/>
    </w:rPr>
  </w:style>
  <w:style w:type="character" w:styleId="Heading7Char" w:customStyle="1">
    <w:name w:val="Heading 7 Char"/>
    <w:basedOn w:val="DefaultParagraphFont"/>
    <w:link w:val="Heading7"/>
    <w:uiPriority w:val="9"/>
    <w:semiHidden/>
    <w:rsid w:val="003C4A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3C4A2A"/>
    <w:rPr>
      <w:rFonts w:asciiTheme="majorHAnsi" w:hAnsiTheme="majorHAnsi" w:eastAsiaTheme="majorEastAsia" w:cstheme="majorBidi"/>
      <w:color w:val="4391C6" w:themeColor="accent1"/>
      <w:sz w:val="20"/>
      <w:szCs w:val="20"/>
    </w:rPr>
  </w:style>
  <w:style w:type="character" w:styleId="Heading9Char" w:customStyle="1">
    <w:name w:val="Heading 9 Char"/>
    <w:basedOn w:val="DefaultParagraphFont"/>
    <w:link w:val="Heading9"/>
    <w:uiPriority w:val="9"/>
    <w:semiHidden/>
    <w:rsid w:val="003C4A2A"/>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3C4A2A"/>
    <w:rPr>
      <w:b/>
      <w:bCs/>
      <w:color w:val="4391C6" w:themeColor="accent1"/>
      <w:sz w:val="18"/>
      <w:szCs w:val="18"/>
    </w:rPr>
  </w:style>
  <w:style w:type="paragraph" w:styleId="Title">
    <w:name w:val="Title"/>
    <w:basedOn w:val="Normal"/>
    <w:next w:val="Normal"/>
    <w:link w:val="TitleChar"/>
    <w:uiPriority w:val="10"/>
    <w:qFormat/>
    <w:rsid w:val="003C4A2A"/>
    <w:pPr>
      <w:pBdr>
        <w:bottom w:val="single" w:color="4391C6" w:themeColor="accent1" w:sz="8" w:space="4"/>
      </w:pBdr>
      <w:spacing w:after="300"/>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3C4A2A"/>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rsid w:val="003C4A2A"/>
    <w:pPr>
      <w:numPr>
        <w:ilvl w:val="1"/>
      </w:numPr>
    </w:pPr>
    <w:rPr>
      <w:rFonts w:asciiTheme="majorHAnsi" w:hAnsiTheme="majorHAnsi" w:eastAsiaTheme="majorEastAsia" w:cstheme="majorBidi"/>
      <w:i/>
      <w:iCs/>
      <w:color w:val="4391C6" w:themeColor="accent1"/>
      <w:spacing w:val="15"/>
      <w:sz w:val="24"/>
      <w:szCs w:val="24"/>
    </w:rPr>
  </w:style>
  <w:style w:type="character" w:styleId="SubtitleChar" w:customStyle="1">
    <w:name w:val="Subtitle Char"/>
    <w:basedOn w:val="DefaultParagraphFont"/>
    <w:link w:val="Subtitle"/>
    <w:uiPriority w:val="11"/>
    <w:rsid w:val="003C4A2A"/>
    <w:rPr>
      <w:rFonts w:asciiTheme="majorHAnsi" w:hAnsiTheme="majorHAnsi" w:eastAsiaTheme="majorEastAsia" w:cstheme="majorBidi"/>
      <w:i/>
      <w:iCs/>
      <w:color w:val="4391C6" w:themeColor="accent1"/>
      <w:spacing w:val="15"/>
      <w:sz w:val="24"/>
      <w:szCs w:val="24"/>
    </w:rPr>
  </w:style>
  <w:style w:type="character" w:styleId="Strong">
    <w:name w:val="Strong"/>
    <w:basedOn w:val="DefaultParagraphFont"/>
    <w:uiPriority w:val="22"/>
    <w:qFormat/>
    <w:rsid w:val="003C4A2A"/>
    <w:rPr>
      <w:b/>
      <w:bCs/>
    </w:rPr>
  </w:style>
  <w:style w:type="character" w:styleId="Emphasis">
    <w:name w:val="Emphasis"/>
    <w:basedOn w:val="DefaultParagraphFont"/>
    <w:uiPriority w:val="20"/>
    <w:qFormat/>
    <w:rsid w:val="003C4A2A"/>
    <w:rPr>
      <w:i/>
      <w:iCs/>
    </w:rPr>
  </w:style>
  <w:style w:type="paragraph" w:styleId="NoSpacing">
    <w:name w:val="No Spacing"/>
    <w:link w:val="NoSpacingChar"/>
    <w:uiPriority w:val="1"/>
    <w:qFormat/>
    <w:rsid w:val="003C4A2A"/>
  </w:style>
  <w:style w:type="character" w:styleId="NoSpacingChar" w:customStyle="1">
    <w:name w:val="No Spacing Char"/>
    <w:basedOn w:val="DefaultParagraphFont"/>
    <w:link w:val="NoSpacing"/>
    <w:uiPriority w:val="1"/>
    <w:rsid w:val="00A92D91"/>
  </w:style>
  <w:style w:type="paragraph" w:styleId="Quote">
    <w:name w:val="Quote"/>
    <w:basedOn w:val="Normal"/>
    <w:next w:val="Normal"/>
    <w:link w:val="QuoteChar"/>
    <w:uiPriority w:val="29"/>
    <w:qFormat/>
    <w:rsid w:val="003C4A2A"/>
    <w:rPr>
      <w:i/>
      <w:iCs/>
      <w:color w:val="000000" w:themeColor="text1"/>
    </w:rPr>
  </w:style>
  <w:style w:type="character" w:styleId="QuoteChar" w:customStyle="1">
    <w:name w:val="Quote Char"/>
    <w:basedOn w:val="DefaultParagraphFont"/>
    <w:link w:val="Quote"/>
    <w:uiPriority w:val="29"/>
    <w:rsid w:val="003C4A2A"/>
    <w:rPr>
      <w:i/>
      <w:iCs/>
      <w:color w:val="000000" w:themeColor="text1"/>
    </w:rPr>
  </w:style>
  <w:style w:type="paragraph" w:styleId="IntenseQuote">
    <w:name w:val="Intense Quote"/>
    <w:basedOn w:val="Normal"/>
    <w:next w:val="Normal"/>
    <w:link w:val="IntenseQuoteChar"/>
    <w:uiPriority w:val="30"/>
    <w:qFormat/>
    <w:rsid w:val="003C4A2A"/>
    <w:pPr>
      <w:pBdr>
        <w:bottom w:val="single" w:color="4391C6" w:themeColor="accent1" w:sz="4" w:space="4"/>
      </w:pBdr>
      <w:spacing w:before="200" w:after="280"/>
      <w:ind w:left="936" w:right="936"/>
    </w:pPr>
    <w:rPr>
      <w:b/>
      <w:bCs/>
      <w:i/>
      <w:iCs/>
      <w:color w:val="4391C6" w:themeColor="accent1"/>
    </w:rPr>
  </w:style>
  <w:style w:type="character" w:styleId="IntenseQuoteChar" w:customStyle="1">
    <w:name w:val="Intense Quote Char"/>
    <w:basedOn w:val="DefaultParagraphFont"/>
    <w:link w:val="IntenseQuote"/>
    <w:uiPriority w:val="30"/>
    <w:rsid w:val="003C4A2A"/>
    <w:rPr>
      <w:b/>
      <w:bCs/>
      <w:i/>
      <w:iCs/>
      <w:color w:val="4391C6" w:themeColor="accent1"/>
    </w:rPr>
  </w:style>
  <w:style w:type="character" w:styleId="SubtleEmphasis">
    <w:name w:val="Subtle Emphasis"/>
    <w:basedOn w:val="DefaultParagraphFont"/>
    <w:uiPriority w:val="19"/>
    <w:qFormat/>
    <w:rsid w:val="003C4A2A"/>
    <w:rPr>
      <w:i/>
      <w:iCs/>
      <w:color w:val="808080" w:themeColor="text1" w:themeTint="7F"/>
    </w:rPr>
  </w:style>
  <w:style w:type="character" w:styleId="IntenseEmphasis">
    <w:name w:val="Intense Emphasis"/>
    <w:basedOn w:val="DefaultParagraphFont"/>
    <w:uiPriority w:val="21"/>
    <w:qFormat/>
    <w:rsid w:val="003C4A2A"/>
    <w:rPr>
      <w:b/>
      <w:bCs/>
      <w:i/>
      <w:iCs/>
      <w:color w:val="4391C6" w:themeColor="accent1"/>
    </w:rPr>
  </w:style>
  <w:style w:type="character" w:styleId="SubtleReference">
    <w:name w:val="Subtle Reference"/>
    <w:basedOn w:val="DefaultParagraphFont"/>
    <w:uiPriority w:val="31"/>
    <w:qFormat/>
    <w:rsid w:val="003C4A2A"/>
    <w:rPr>
      <w:smallCaps/>
      <w:color w:val="DEC802" w:themeColor="accent2"/>
      <w:u w:val="single"/>
    </w:rPr>
  </w:style>
  <w:style w:type="character" w:styleId="IntenseReference">
    <w:name w:val="Intense Reference"/>
    <w:basedOn w:val="DefaultParagraphFont"/>
    <w:uiPriority w:val="32"/>
    <w:qFormat/>
    <w:rsid w:val="003C4A2A"/>
    <w:rPr>
      <w:b/>
      <w:bCs/>
      <w:smallCaps/>
      <w:color w:val="DEC802" w:themeColor="accent2"/>
      <w:spacing w:val="5"/>
      <w:u w:val="single"/>
    </w:rPr>
  </w:style>
  <w:style w:type="character" w:styleId="BookTitle">
    <w:name w:val="Book Title"/>
    <w:basedOn w:val="DefaultParagraphFont"/>
    <w:uiPriority w:val="33"/>
    <w:qFormat/>
    <w:rsid w:val="003C4A2A"/>
    <w:rPr>
      <w:b/>
      <w:bCs/>
      <w:smallCaps/>
      <w:spacing w:val="5"/>
    </w:rPr>
  </w:style>
  <w:style w:type="paragraph" w:styleId="TOCHeading">
    <w:name w:val="TOC Heading"/>
    <w:basedOn w:val="Heading1"/>
    <w:next w:val="Normal"/>
    <w:uiPriority w:val="39"/>
    <w:semiHidden/>
    <w:unhideWhenUsed/>
    <w:qFormat/>
    <w:rsid w:val="003C4A2A"/>
    <w:pPr>
      <w:outlineLvl w:val="9"/>
    </w:pPr>
  </w:style>
  <w:style w:type="paragraph" w:styleId="Header">
    <w:name w:val="header"/>
    <w:basedOn w:val="Normal"/>
    <w:link w:val="HeaderChar"/>
    <w:uiPriority w:val="99"/>
    <w:unhideWhenUsed/>
    <w:rsid w:val="00FD5FD5"/>
    <w:pPr>
      <w:tabs>
        <w:tab w:val="center" w:pos="4680"/>
        <w:tab w:val="right" w:pos="9360"/>
      </w:tabs>
    </w:pPr>
  </w:style>
  <w:style w:type="character" w:styleId="HeaderChar" w:customStyle="1">
    <w:name w:val="Header Char"/>
    <w:basedOn w:val="DefaultParagraphFont"/>
    <w:link w:val="Header"/>
    <w:uiPriority w:val="99"/>
    <w:rsid w:val="00FD5FD5"/>
  </w:style>
  <w:style w:type="paragraph" w:styleId="Footer">
    <w:name w:val="footer"/>
    <w:basedOn w:val="Normal"/>
    <w:link w:val="FooterChar"/>
    <w:uiPriority w:val="99"/>
    <w:unhideWhenUsed/>
    <w:rsid w:val="00FD5FD5"/>
    <w:pPr>
      <w:tabs>
        <w:tab w:val="center" w:pos="4680"/>
        <w:tab w:val="right" w:pos="9360"/>
      </w:tabs>
    </w:pPr>
  </w:style>
  <w:style w:type="character" w:styleId="FooterChar" w:customStyle="1">
    <w:name w:val="Footer Char"/>
    <w:basedOn w:val="DefaultParagraphFont"/>
    <w:link w:val="Footer"/>
    <w:uiPriority w:val="99"/>
    <w:rsid w:val="00FD5FD5"/>
  </w:style>
  <w:style w:type="character" w:styleId="CommentReference">
    <w:name w:val="annotation reference"/>
    <w:basedOn w:val="DefaultParagraphFont"/>
    <w:uiPriority w:val="99"/>
    <w:semiHidden/>
    <w:unhideWhenUsed/>
    <w:rsid w:val="00D62B7E"/>
    <w:rPr>
      <w:sz w:val="16"/>
      <w:szCs w:val="16"/>
    </w:rPr>
  </w:style>
  <w:style w:type="paragraph" w:styleId="CommentText">
    <w:name w:val="annotation text"/>
    <w:basedOn w:val="Normal"/>
    <w:link w:val="CommentTextChar"/>
    <w:uiPriority w:val="99"/>
    <w:unhideWhenUsed/>
    <w:rsid w:val="00D62B7E"/>
    <w:rPr>
      <w:sz w:val="20"/>
    </w:rPr>
  </w:style>
  <w:style w:type="character" w:styleId="CommentTextChar" w:customStyle="1">
    <w:name w:val="Comment Text Char"/>
    <w:basedOn w:val="DefaultParagraphFont"/>
    <w:link w:val="CommentText"/>
    <w:uiPriority w:val="99"/>
    <w:rsid w:val="00D62B7E"/>
    <w:rPr>
      <w:rFonts w:ascii="Calibri Light" w:hAnsi="Calibri Light"/>
    </w:rPr>
  </w:style>
  <w:style w:type="paragraph" w:styleId="CommentSubject">
    <w:name w:val="annotation subject"/>
    <w:basedOn w:val="CommentText"/>
    <w:next w:val="CommentText"/>
    <w:link w:val="CommentSubjectChar"/>
    <w:uiPriority w:val="99"/>
    <w:semiHidden/>
    <w:unhideWhenUsed/>
    <w:rsid w:val="00D62B7E"/>
    <w:rPr>
      <w:b/>
      <w:bCs/>
    </w:rPr>
  </w:style>
  <w:style w:type="character" w:styleId="CommentSubjectChar" w:customStyle="1">
    <w:name w:val="Comment Subject Char"/>
    <w:basedOn w:val="CommentTextChar"/>
    <w:link w:val="CommentSubject"/>
    <w:uiPriority w:val="99"/>
    <w:semiHidden/>
    <w:rsid w:val="00D62B7E"/>
    <w:rPr>
      <w:rFonts w:ascii="Calibri Light" w:hAnsi="Calibri Light"/>
      <w:b/>
      <w:bCs/>
    </w:rPr>
  </w:style>
  <w:style w:type="paragraph" w:styleId="BalloonText">
    <w:name w:val="Balloon Text"/>
    <w:basedOn w:val="Normal"/>
    <w:link w:val="BalloonTextChar"/>
    <w:uiPriority w:val="99"/>
    <w:semiHidden/>
    <w:unhideWhenUsed/>
    <w:rsid w:val="00D62B7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2B7E"/>
    <w:rPr>
      <w:rFonts w:ascii="Segoe UI" w:hAnsi="Segoe UI" w:cs="Segoe UI"/>
      <w:sz w:val="18"/>
      <w:szCs w:val="18"/>
    </w:rPr>
  </w:style>
  <w:style w:type="paragraph" w:styleId="FootnoteText">
    <w:name w:val="footnote text"/>
    <w:basedOn w:val="Normal"/>
    <w:link w:val="FootnoteTextChar"/>
    <w:uiPriority w:val="99"/>
    <w:unhideWhenUsed/>
    <w:rsid w:val="00C00516"/>
    <w:rPr>
      <w:sz w:val="20"/>
    </w:rPr>
  </w:style>
  <w:style w:type="character" w:styleId="FootnoteTextChar" w:customStyle="1">
    <w:name w:val="Footnote Text Char"/>
    <w:basedOn w:val="DefaultParagraphFont"/>
    <w:link w:val="FootnoteText"/>
    <w:uiPriority w:val="99"/>
    <w:rsid w:val="00C00516"/>
    <w:rPr>
      <w:rFonts w:ascii="Calibri Light" w:hAnsi="Calibri Light"/>
    </w:rPr>
  </w:style>
  <w:style w:type="character" w:styleId="FootnoteReference">
    <w:name w:val="footnote reference"/>
    <w:basedOn w:val="DefaultParagraphFont"/>
    <w:uiPriority w:val="99"/>
    <w:semiHidden/>
    <w:unhideWhenUsed/>
    <w:rsid w:val="00C00516"/>
    <w:rPr>
      <w:vertAlign w:val="superscript"/>
    </w:rPr>
  </w:style>
  <w:style w:type="character" w:styleId="Hyperlink">
    <w:name w:val="Hyperlink"/>
    <w:basedOn w:val="DefaultParagraphFont"/>
    <w:uiPriority w:val="99"/>
    <w:unhideWhenUsed/>
    <w:rsid w:val="00C00516"/>
    <w:rPr>
      <w:color w:val="0070C0" w:themeColor="hyperlink"/>
      <w:u w:val="single"/>
    </w:rPr>
  </w:style>
  <w:style w:type="paragraph" w:styleId="Revision">
    <w:name w:val="Revision"/>
    <w:hidden/>
    <w:uiPriority w:val="99"/>
    <w:semiHidden/>
    <w:rsid w:val="00F0391D"/>
    <w:rPr>
      <w:rFonts w:ascii="Calibri Light" w:hAnsi="Calibri Light"/>
    </w:rPr>
  </w:style>
  <w:style w:type="character" w:styleId="FollowedHyperlink">
    <w:name w:val="FollowedHyperlink"/>
    <w:basedOn w:val="DefaultParagraphFont"/>
    <w:uiPriority w:val="99"/>
    <w:semiHidden/>
    <w:unhideWhenUsed/>
    <w:rsid w:val="00253E39"/>
    <w:rPr>
      <w:color w:val="C00000" w:themeColor="followedHyperlink"/>
      <w:u w:val="single"/>
    </w:rPr>
  </w:style>
  <w:style w:type="character" w:styleId="UnresolvedMention1" w:customStyle="1">
    <w:name w:val="Unresolved Mention1"/>
    <w:basedOn w:val="DefaultParagraphFont"/>
    <w:uiPriority w:val="99"/>
    <w:semiHidden/>
    <w:unhideWhenUsed/>
    <w:rsid w:val="00EF7934"/>
    <w:rPr>
      <w:color w:val="605E5C"/>
      <w:shd w:val="clear" w:color="auto" w:fill="E1DFDD"/>
    </w:rPr>
  </w:style>
  <w:style w:type="table" w:styleId="TableGrid">
    <w:name w:val="Table Grid"/>
    <w:basedOn w:val="TableNormal"/>
    <w:uiPriority w:val="59"/>
    <w:rsid w:val="00142B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3">
    <w:name w:val="Grid Table 6 Colorful Accent 3"/>
    <w:basedOn w:val="TableNormal"/>
    <w:uiPriority w:val="51"/>
    <w:rsid w:val="00711D81"/>
    <w:rPr>
      <w:color w:val="492177" w:themeColor="accent3" w:themeShade="BF"/>
    </w:rPr>
    <w:tblPr>
      <w:tblStyleRowBandSize w:val="1"/>
      <w:tblStyleColBandSize w:val="1"/>
      <w:tblBorders>
        <w:top w:val="single" w:color="A06ED7" w:themeColor="accent3" w:themeTint="99" w:sz="4" w:space="0"/>
        <w:left w:val="single" w:color="A06ED7" w:themeColor="accent3" w:themeTint="99" w:sz="4" w:space="0"/>
        <w:bottom w:val="single" w:color="A06ED7" w:themeColor="accent3" w:themeTint="99" w:sz="4" w:space="0"/>
        <w:right w:val="single" w:color="A06ED7" w:themeColor="accent3" w:themeTint="99" w:sz="4" w:space="0"/>
        <w:insideH w:val="single" w:color="A06ED7" w:themeColor="accent3" w:themeTint="99" w:sz="4" w:space="0"/>
        <w:insideV w:val="single" w:color="A06ED7" w:themeColor="accent3" w:themeTint="99" w:sz="4" w:space="0"/>
      </w:tblBorders>
    </w:tblPr>
    <w:tblStylePr w:type="firstRow">
      <w:rPr>
        <w:b/>
        <w:bCs/>
      </w:rPr>
      <w:tblPr/>
      <w:tcPr>
        <w:tcBorders>
          <w:bottom w:val="single" w:color="A06ED7" w:themeColor="accent3" w:themeTint="99" w:sz="12" w:space="0"/>
        </w:tcBorders>
      </w:tcPr>
    </w:tblStylePr>
    <w:tblStylePr w:type="lastRow">
      <w:rPr>
        <w:b/>
        <w:bCs/>
      </w:rPr>
      <w:tblPr/>
      <w:tcPr>
        <w:tcBorders>
          <w:top w:val="double" w:color="A06ED7" w:themeColor="accent3" w:themeTint="99" w:sz="4" w:space="0"/>
        </w:tcBorders>
      </w:tcPr>
    </w:tblStylePr>
    <w:tblStylePr w:type="firstCol">
      <w:rPr>
        <w:b/>
        <w:bCs/>
      </w:rPr>
    </w:tblStylePr>
    <w:tblStylePr w:type="lastCol">
      <w:rPr>
        <w:b/>
        <w:bCs/>
      </w:rPr>
    </w:tblStylePr>
    <w:tblStylePr w:type="band1Vert">
      <w:tblPr/>
      <w:tcPr>
        <w:shd w:val="clear" w:color="auto" w:fill="DFCEF1" w:themeFill="accent3" w:themeFillTint="33"/>
      </w:tcPr>
    </w:tblStylePr>
    <w:tblStylePr w:type="band1Horz">
      <w:tblPr/>
      <w:tcPr>
        <w:shd w:val="clear" w:color="auto" w:fill="DFCEF1" w:themeFill="accent3" w:themeFillTint="33"/>
      </w:tcPr>
    </w:tblStylePr>
  </w:style>
  <w:style w:type="table" w:styleId="PlainTable5">
    <w:name w:val="Plain Table 5"/>
    <w:basedOn w:val="TableNormal"/>
    <w:uiPriority w:val="45"/>
    <w:rsid w:val="00711D81"/>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5B29CF"/>
    <w:tblPr>
      <w:tblStyleRowBandSize w:val="1"/>
      <w:tblStyleColBandSize w:val="1"/>
      <w:tblBorders>
        <w:top w:val="single" w:color="8EBCDC" w:themeColor="accent1" w:themeTint="99" w:sz="4" w:space="0"/>
        <w:left w:val="single" w:color="8EBCDC" w:themeColor="accent1" w:themeTint="99" w:sz="4" w:space="0"/>
        <w:bottom w:val="single" w:color="8EBCDC" w:themeColor="accent1" w:themeTint="99" w:sz="4" w:space="0"/>
        <w:right w:val="single" w:color="8EBCDC" w:themeColor="accent1" w:themeTint="99" w:sz="4" w:space="0"/>
        <w:insideH w:val="single" w:color="8EBCDC" w:themeColor="accent1" w:themeTint="99" w:sz="4" w:space="0"/>
        <w:insideV w:val="single" w:color="8EBCD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8F3" w:themeFill="accent1" w:themeFillTint="33"/>
      </w:tcPr>
    </w:tblStylePr>
    <w:tblStylePr w:type="band1Horz">
      <w:tblPr/>
      <w:tcPr>
        <w:shd w:val="clear" w:color="auto" w:fill="D9E8F3" w:themeFill="accent1" w:themeFillTint="33"/>
      </w:tcPr>
    </w:tblStylePr>
    <w:tblStylePr w:type="neCell">
      <w:tblPr/>
      <w:tcPr>
        <w:tcBorders>
          <w:bottom w:val="single" w:color="8EBCDC" w:themeColor="accent1" w:themeTint="99" w:sz="4" w:space="0"/>
        </w:tcBorders>
      </w:tcPr>
    </w:tblStylePr>
    <w:tblStylePr w:type="nwCell">
      <w:tblPr/>
      <w:tcPr>
        <w:tcBorders>
          <w:bottom w:val="single" w:color="8EBCDC" w:themeColor="accent1" w:themeTint="99" w:sz="4" w:space="0"/>
        </w:tcBorders>
      </w:tcPr>
    </w:tblStylePr>
    <w:tblStylePr w:type="seCell">
      <w:tblPr/>
      <w:tcPr>
        <w:tcBorders>
          <w:top w:val="single" w:color="8EBCDC" w:themeColor="accent1" w:themeTint="99" w:sz="4" w:space="0"/>
        </w:tcBorders>
      </w:tcPr>
    </w:tblStylePr>
    <w:tblStylePr w:type="swCell">
      <w:tblPr/>
      <w:tcPr>
        <w:tcBorders>
          <w:top w:val="single" w:color="8EBCDC" w:themeColor="accent1" w:themeTint="99" w:sz="4" w:space="0"/>
        </w:tcBorders>
      </w:tcPr>
    </w:tblStylePr>
  </w:style>
  <w:style w:type="table" w:styleId="GridTable2-Accent1">
    <w:name w:val="Grid Table 2 Accent 1"/>
    <w:basedOn w:val="TableNormal"/>
    <w:uiPriority w:val="47"/>
    <w:rsid w:val="005B29CF"/>
    <w:tblPr>
      <w:tblStyleRowBandSize w:val="1"/>
      <w:tblStyleColBandSize w:val="1"/>
      <w:tblBorders>
        <w:top w:val="single" w:color="8EBCDC" w:themeColor="accent1" w:themeTint="99" w:sz="2" w:space="0"/>
        <w:bottom w:val="single" w:color="8EBCDC" w:themeColor="accent1" w:themeTint="99" w:sz="2" w:space="0"/>
        <w:insideH w:val="single" w:color="8EBCDC" w:themeColor="accent1" w:themeTint="99" w:sz="2" w:space="0"/>
        <w:insideV w:val="single" w:color="8EBCDC" w:themeColor="accent1" w:themeTint="99" w:sz="2" w:space="0"/>
      </w:tblBorders>
    </w:tblPr>
    <w:tblStylePr w:type="firstRow">
      <w:rPr>
        <w:b/>
        <w:bCs/>
      </w:rPr>
      <w:tblPr/>
      <w:tcPr>
        <w:tcBorders>
          <w:top w:val="nil"/>
          <w:bottom w:val="single" w:color="8EBCDC" w:themeColor="accent1" w:themeTint="99" w:sz="12" w:space="0"/>
          <w:insideH w:val="nil"/>
          <w:insideV w:val="nil"/>
        </w:tcBorders>
        <w:shd w:val="clear" w:color="auto" w:fill="FFFFFF" w:themeFill="background1"/>
      </w:tcPr>
    </w:tblStylePr>
    <w:tblStylePr w:type="lastRow">
      <w:rPr>
        <w:b/>
        <w:bCs/>
      </w:rPr>
      <w:tblPr/>
      <w:tcPr>
        <w:tcBorders>
          <w:top w:val="double" w:color="8EBCDC"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8F3" w:themeFill="accent1" w:themeFillTint="33"/>
      </w:tcPr>
    </w:tblStylePr>
    <w:tblStylePr w:type="band1Horz">
      <w:tblPr/>
      <w:tcPr>
        <w:shd w:val="clear" w:color="auto" w:fill="D9E8F3" w:themeFill="accent1" w:themeFillTint="33"/>
      </w:tcPr>
    </w:tblStylePr>
  </w:style>
  <w:style w:type="table" w:styleId="GridTable1Light-Accent1">
    <w:name w:val="Grid Table 1 Light Accent 1"/>
    <w:basedOn w:val="TableNormal"/>
    <w:uiPriority w:val="46"/>
    <w:rsid w:val="005B29CF"/>
    <w:tblPr>
      <w:tblStyleRowBandSize w:val="1"/>
      <w:tblStyleColBandSize w:val="1"/>
      <w:tblBorders>
        <w:top w:val="single" w:color="B3D2E8" w:themeColor="accent1" w:themeTint="66" w:sz="4" w:space="0"/>
        <w:left w:val="single" w:color="B3D2E8" w:themeColor="accent1" w:themeTint="66" w:sz="4" w:space="0"/>
        <w:bottom w:val="single" w:color="B3D2E8" w:themeColor="accent1" w:themeTint="66" w:sz="4" w:space="0"/>
        <w:right w:val="single" w:color="B3D2E8" w:themeColor="accent1" w:themeTint="66" w:sz="4" w:space="0"/>
        <w:insideH w:val="single" w:color="B3D2E8" w:themeColor="accent1" w:themeTint="66" w:sz="4" w:space="0"/>
        <w:insideV w:val="single" w:color="B3D2E8" w:themeColor="accent1" w:themeTint="66" w:sz="4" w:space="0"/>
      </w:tblBorders>
    </w:tblPr>
    <w:tblStylePr w:type="firstRow">
      <w:rPr>
        <w:b/>
        <w:bCs/>
      </w:rPr>
      <w:tblPr/>
      <w:tcPr>
        <w:tcBorders>
          <w:bottom w:val="single" w:color="8EBCDC" w:themeColor="accent1" w:themeTint="99" w:sz="12" w:space="0"/>
        </w:tcBorders>
      </w:tcPr>
    </w:tblStylePr>
    <w:tblStylePr w:type="lastRow">
      <w:rPr>
        <w:b/>
        <w:bCs/>
      </w:rPr>
      <w:tblPr/>
      <w:tcPr>
        <w:tcBorders>
          <w:top w:val="double" w:color="8EBCDC" w:themeColor="accent1" w:themeTint="99" w:sz="2" w:space="0"/>
        </w:tcBorders>
      </w:tcPr>
    </w:tblStylePr>
    <w:tblStylePr w:type="firstCol">
      <w:rPr>
        <w:b/>
        <w:bCs/>
      </w:rPr>
    </w:tblStylePr>
    <w:tblStylePr w:type="lastCol">
      <w:rPr>
        <w:b/>
        <w:bCs/>
      </w:rPr>
    </w:tblStylePr>
  </w:style>
  <w:style w:type="table" w:styleId="ListTable7Colorful-Accent5">
    <w:name w:val="List Table 7 Colorful Accent 5"/>
    <w:basedOn w:val="TableNormal"/>
    <w:uiPriority w:val="52"/>
    <w:rsid w:val="005B29CF"/>
    <w:rPr>
      <w:color w:val="06548A"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872BA"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872B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872BA"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872BA" w:themeColor="accent5" w:sz="4" w:space="0"/>
        </w:tcBorders>
        <w:shd w:val="clear" w:color="auto" w:fill="FFFFFF" w:themeFill="background1"/>
      </w:tcPr>
    </w:tblStylePr>
    <w:tblStylePr w:type="band1Vert">
      <w:tblPr/>
      <w:tcPr>
        <w:shd w:val="clear" w:color="auto" w:fill="C2E4FC" w:themeFill="accent5" w:themeFillTint="33"/>
      </w:tcPr>
    </w:tblStylePr>
    <w:tblStylePr w:type="band1Horz">
      <w:tblPr/>
      <w:tcPr>
        <w:shd w:val="clear" w:color="auto" w:fill="C2E4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5B29CF"/>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B29CF"/>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265D8"/>
    <w:rPr>
      <w:color w:val="605E5C"/>
      <w:shd w:val="clear" w:color="auto" w:fill="E1DFDD"/>
    </w:rPr>
  </w:style>
  <w:style w:type="character" w:styleId="cf01" w:customStyle="1">
    <w:name w:val="cf01"/>
    <w:basedOn w:val="DefaultParagraphFont"/>
    <w:rsid w:val="00B86CEC"/>
    <w:rPr>
      <w:rFonts w:hint="default" w:ascii="Segoe UI" w:hAnsi="Segoe UI" w:cs="Segoe UI"/>
      <w:sz w:val="18"/>
      <w:szCs w:val="18"/>
    </w:rPr>
  </w:style>
  <w:style w:type="character" w:styleId="EndnoteReference">
    <w:name w:val="endnote reference"/>
    <w:basedOn w:val="DefaultParagraphFont"/>
    <w:uiPriority w:val="99"/>
    <w:semiHidden/>
    <w:unhideWhenUsed/>
    <w:rsid w:val="0044555C"/>
    <w:rPr>
      <w:vertAlign w:val="superscript"/>
    </w:rPr>
  </w:style>
  <w:style w:type="paragraph" w:styleId="pf0" w:customStyle="1">
    <w:name w:val="pf0"/>
    <w:basedOn w:val="Normal"/>
    <w:rsid w:val="00B772EF"/>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139">
      <w:bodyDiv w:val="1"/>
      <w:marLeft w:val="0"/>
      <w:marRight w:val="0"/>
      <w:marTop w:val="0"/>
      <w:marBottom w:val="0"/>
      <w:divBdr>
        <w:top w:val="none" w:sz="0" w:space="0" w:color="auto"/>
        <w:left w:val="none" w:sz="0" w:space="0" w:color="auto"/>
        <w:bottom w:val="none" w:sz="0" w:space="0" w:color="auto"/>
        <w:right w:val="none" w:sz="0" w:space="0" w:color="auto"/>
      </w:divBdr>
    </w:div>
    <w:div w:id="780809010">
      <w:bodyDiv w:val="1"/>
      <w:marLeft w:val="0"/>
      <w:marRight w:val="0"/>
      <w:marTop w:val="0"/>
      <w:marBottom w:val="0"/>
      <w:divBdr>
        <w:top w:val="none" w:sz="0" w:space="0" w:color="auto"/>
        <w:left w:val="none" w:sz="0" w:space="0" w:color="auto"/>
        <w:bottom w:val="none" w:sz="0" w:space="0" w:color="auto"/>
        <w:right w:val="none" w:sz="0" w:space="0" w:color="auto"/>
      </w:divBdr>
    </w:div>
    <w:div w:id="1472596406">
      <w:bodyDiv w:val="1"/>
      <w:marLeft w:val="0"/>
      <w:marRight w:val="0"/>
      <w:marTop w:val="0"/>
      <w:marBottom w:val="0"/>
      <w:divBdr>
        <w:top w:val="none" w:sz="0" w:space="0" w:color="auto"/>
        <w:left w:val="none" w:sz="0" w:space="0" w:color="auto"/>
        <w:bottom w:val="none" w:sz="0" w:space="0" w:color="auto"/>
        <w:right w:val="none" w:sz="0" w:space="0" w:color="auto"/>
      </w:divBdr>
    </w:div>
    <w:div w:id="1960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hart" Target="charts/chart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hart" Target="charts/chart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chart" Target="charts/chart1.xml"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data/tables/time-series/dec/coh-crowding.html" TargetMode="External"/><Relationship Id="rId2" Type="http://schemas.openxmlformats.org/officeDocument/2006/relationships/hyperlink" Target="http://www.ncfh.org/h-2a-guest-workers-fact-sheet.html" TargetMode="External"/><Relationship Id="rId1" Type="http://schemas.openxmlformats.org/officeDocument/2006/relationships/hyperlink" Target="https://www.dol.gov/agencies/eta/national-agricultural-workers-surve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cap="none" spc="50" normalizeH="0" baseline="0">
                <a:solidFill>
                  <a:schemeClr val="tx1">
                    <a:lumMod val="65000"/>
                    <a:lumOff val="35000"/>
                  </a:schemeClr>
                </a:solidFill>
                <a:latin typeface="Cabin" pitchFamily="2" charset="0"/>
                <a:ea typeface="+mj-ea"/>
                <a:cs typeface="+mj-cs"/>
              </a:defRPr>
            </a:pPr>
            <a:r>
              <a:rPr lang="en-US" sz="1400">
                <a:latin typeface="Cabin" pitchFamily="2" charset="0"/>
              </a:rPr>
              <a:t>Age Distribution of Farmworkers</a:t>
            </a:r>
          </a:p>
          <a:p>
            <a:pPr algn="ctr">
              <a:defRPr sz="1400">
                <a:latin typeface="Cabin" pitchFamily="2" charset="0"/>
              </a:defRPr>
            </a:pPr>
            <a:r>
              <a:rPr lang="en-US" sz="1400">
                <a:latin typeface="Cabin" pitchFamily="2" charset="0"/>
              </a:rPr>
              <a:t>2018-2020</a:t>
            </a:r>
          </a:p>
        </c:rich>
      </c:tx>
      <c:layout>
        <c:manualLayout>
          <c:xMode val="edge"/>
          <c:yMode val="edge"/>
          <c:x val="0.20785944399090581"/>
          <c:y val="3.600580278902836E-2"/>
        </c:manualLayout>
      </c:layout>
      <c:overlay val="0"/>
      <c:spPr>
        <a:noFill/>
        <a:ln>
          <a:noFill/>
        </a:ln>
        <a:effectLst/>
      </c:spPr>
      <c:txPr>
        <a:bodyPr rot="0" spcFirstLastPara="1" vertOverflow="ellipsis" vert="horz" wrap="square" anchor="ctr" anchorCtr="1"/>
        <a:lstStyle/>
        <a:p>
          <a:pPr algn="ctr">
            <a:defRPr sz="1400" b="0" i="0" u="none" strike="noStrike" kern="1200" cap="none" spc="50" normalizeH="0" baseline="0">
              <a:solidFill>
                <a:schemeClr val="tx1">
                  <a:lumMod val="65000"/>
                  <a:lumOff val="35000"/>
                </a:schemeClr>
              </a:solidFill>
              <a:latin typeface="Cabin" pitchFamily="2" charset="0"/>
              <a:ea typeface="+mj-ea"/>
              <a:cs typeface="+mj-cs"/>
            </a:defRPr>
          </a:pPr>
          <a:endParaRPr lang="en-US"/>
        </a:p>
      </c:txPr>
    </c:title>
    <c:autoTitleDeleted val="0"/>
    <c:plotArea>
      <c:layout/>
      <c:barChart>
        <c:barDir val="col"/>
        <c:grouping val="clustered"/>
        <c:varyColors val="0"/>
        <c:ser>
          <c:idx val="0"/>
          <c:order val="0"/>
          <c:tx>
            <c:strRef>
              <c:f>Sheet1!$B$1</c:f>
              <c:strCache>
                <c:ptCount val="1"/>
                <c:pt idx="0">
                  <c:v>14-19 years</c:v>
                </c:pt>
              </c:strCache>
            </c:strRef>
          </c:tx>
          <c:spPr>
            <a:solidFill>
              <a:schemeClr val="accent1">
                <a:alpha val="70000"/>
              </a:schemeClr>
            </a:solidFill>
            <a:ln>
              <a:noFill/>
            </a:ln>
            <a:effectLst/>
          </c:spPr>
          <c:invertIfNegative val="0"/>
          <c:dPt>
            <c:idx val="0"/>
            <c:invertIfNegative val="0"/>
            <c:bubble3D val="0"/>
            <c:spPr>
              <a:solidFill>
                <a:schemeClr val="accent1">
                  <a:alpha val="70000"/>
                </a:schemeClr>
              </a:solidFill>
              <a:ln>
                <a:noFill/>
              </a:ln>
              <a:effectLst/>
            </c:spPr>
            <c:extLst>
              <c:ext xmlns:c16="http://schemas.microsoft.com/office/drawing/2014/chart" uri="{C3380CC4-5D6E-409C-BE32-E72D297353CC}">
                <c16:uniqueId val="{00000008-A635-4106-80E2-ECED4C5C04D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Sheet1!$B$2</c:f>
              <c:numCache>
                <c:formatCode>0%</c:formatCode>
                <c:ptCount val="1"/>
                <c:pt idx="0">
                  <c:v>0.05</c:v>
                </c:pt>
              </c:numCache>
            </c:numRef>
          </c:val>
          <c:extLst>
            <c:ext xmlns:c16="http://schemas.microsoft.com/office/drawing/2014/chart" uri="{C3380CC4-5D6E-409C-BE32-E72D297353CC}">
              <c16:uniqueId val="{00000000-A635-4106-80E2-ECED4C5C04DF}"/>
            </c:ext>
          </c:extLst>
        </c:ser>
        <c:ser>
          <c:idx val="1"/>
          <c:order val="1"/>
          <c:tx>
            <c:strRef>
              <c:f>Sheet1!$C$1</c:f>
              <c:strCache>
                <c:ptCount val="1"/>
                <c:pt idx="0">
                  <c:v>20-24 years</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Sheet1!$C$2</c:f>
              <c:numCache>
                <c:formatCode>0%</c:formatCode>
                <c:ptCount val="1"/>
                <c:pt idx="0">
                  <c:v>0.09</c:v>
                </c:pt>
              </c:numCache>
            </c:numRef>
          </c:val>
          <c:extLst>
            <c:ext xmlns:c16="http://schemas.microsoft.com/office/drawing/2014/chart" uri="{C3380CC4-5D6E-409C-BE32-E72D297353CC}">
              <c16:uniqueId val="{00000001-A635-4106-80E2-ECED4C5C04DF}"/>
            </c:ext>
          </c:extLst>
        </c:ser>
        <c:ser>
          <c:idx val="2"/>
          <c:order val="2"/>
          <c:tx>
            <c:strRef>
              <c:f>Sheet1!$D$1</c:f>
              <c:strCache>
                <c:ptCount val="1"/>
                <c:pt idx="0">
                  <c:v>25-34 years</c:v>
                </c:pt>
              </c:strCache>
            </c:strRef>
          </c:tx>
          <c:spPr>
            <a:solidFill>
              <a:schemeClr val="accent3">
                <a:alpha val="70000"/>
              </a:schemeClr>
            </a:solidFill>
            <a:ln>
              <a:noFill/>
            </a:ln>
            <a:effectLst/>
          </c:spPr>
          <c:invertIfNegative val="0"/>
          <c:dLbls>
            <c:dLbl>
              <c:idx val="0"/>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4F1-4AE4-97DF-C9304E447DC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Sheet1!$D$2</c:f>
              <c:numCache>
                <c:formatCode>0%</c:formatCode>
                <c:ptCount val="1"/>
                <c:pt idx="0">
                  <c:v>0.23</c:v>
                </c:pt>
              </c:numCache>
            </c:numRef>
          </c:val>
          <c:extLst>
            <c:ext xmlns:c16="http://schemas.microsoft.com/office/drawing/2014/chart" uri="{C3380CC4-5D6E-409C-BE32-E72D297353CC}">
              <c16:uniqueId val="{00000002-A635-4106-80E2-ECED4C5C04DF}"/>
            </c:ext>
          </c:extLst>
        </c:ser>
        <c:ser>
          <c:idx val="3"/>
          <c:order val="3"/>
          <c:tx>
            <c:strRef>
              <c:f>Sheet1!$E$1</c:f>
              <c:strCache>
                <c:ptCount val="1"/>
                <c:pt idx="0">
                  <c:v>35-44 years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Sheet1!$E$2</c:f>
              <c:numCache>
                <c:formatCode>0%</c:formatCode>
                <c:ptCount val="1"/>
                <c:pt idx="0">
                  <c:v>0.26</c:v>
                </c:pt>
              </c:numCache>
            </c:numRef>
          </c:val>
          <c:extLst>
            <c:ext xmlns:c16="http://schemas.microsoft.com/office/drawing/2014/chart" uri="{C3380CC4-5D6E-409C-BE32-E72D297353CC}">
              <c16:uniqueId val="{00000004-A635-4106-80E2-ECED4C5C04DF}"/>
            </c:ext>
          </c:extLst>
        </c:ser>
        <c:ser>
          <c:idx val="4"/>
          <c:order val="4"/>
          <c:tx>
            <c:strRef>
              <c:f>Sheet1!$F$1</c:f>
              <c:strCache>
                <c:ptCount val="1"/>
                <c:pt idx="0">
                  <c:v>45-54 years</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Sheet1!$F$2</c:f>
              <c:numCache>
                <c:formatCode>0%</c:formatCode>
                <c:ptCount val="1"/>
                <c:pt idx="0">
                  <c:v>0.18</c:v>
                </c:pt>
              </c:numCache>
            </c:numRef>
          </c:val>
          <c:extLst>
            <c:ext xmlns:c16="http://schemas.microsoft.com/office/drawing/2014/chart" uri="{C3380CC4-5D6E-409C-BE32-E72D297353CC}">
              <c16:uniqueId val="{00000005-A635-4106-80E2-ECED4C5C04DF}"/>
            </c:ext>
          </c:extLst>
        </c:ser>
        <c:ser>
          <c:idx val="5"/>
          <c:order val="5"/>
          <c:tx>
            <c:strRef>
              <c:f>Sheet1!$G$1</c:f>
              <c:strCache>
                <c:ptCount val="1"/>
                <c:pt idx="0">
                  <c:v>55-64</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Sheet1!$G$2</c:f>
              <c:numCache>
                <c:formatCode>0%</c:formatCode>
                <c:ptCount val="1"/>
                <c:pt idx="0">
                  <c:v>0.14000000000000001</c:v>
                </c:pt>
              </c:numCache>
            </c:numRef>
          </c:val>
          <c:extLst>
            <c:ext xmlns:c16="http://schemas.microsoft.com/office/drawing/2014/chart" uri="{C3380CC4-5D6E-409C-BE32-E72D297353CC}">
              <c16:uniqueId val="{00000006-A635-4106-80E2-ECED4C5C04DF}"/>
            </c:ext>
          </c:extLst>
        </c:ser>
        <c:ser>
          <c:idx val="6"/>
          <c:order val="6"/>
          <c:tx>
            <c:strRef>
              <c:f>Sheet1!$H$1</c:f>
              <c:strCache>
                <c:ptCount val="1"/>
                <c:pt idx="0">
                  <c:v>65+</c:v>
                </c:pt>
              </c:strCache>
            </c:strRef>
          </c:tx>
          <c:spPr>
            <a:solidFill>
              <a:schemeClr val="accent1">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c:f>
              <c:numCache>
                <c:formatCode>General</c:formatCode>
                <c:ptCount val="1"/>
              </c:numCache>
            </c:numRef>
          </c:cat>
          <c:val>
            <c:numRef>
              <c:f>Sheet1!$H$2</c:f>
              <c:numCache>
                <c:formatCode>0%</c:formatCode>
                <c:ptCount val="1"/>
                <c:pt idx="0">
                  <c:v>0.05</c:v>
                </c:pt>
              </c:numCache>
            </c:numRef>
          </c:val>
          <c:extLst>
            <c:ext xmlns:c16="http://schemas.microsoft.com/office/drawing/2014/chart" uri="{C3380CC4-5D6E-409C-BE32-E72D297353CC}">
              <c16:uniqueId val="{00000007-A635-4106-80E2-ECED4C5C04DF}"/>
            </c:ext>
          </c:extLst>
        </c:ser>
        <c:dLbls>
          <c:dLblPos val="ctr"/>
          <c:showLegendKey val="0"/>
          <c:showVal val="1"/>
          <c:showCatName val="0"/>
          <c:showSerName val="0"/>
          <c:showPercent val="0"/>
          <c:showBubbleSize val="0"/>
        </c:dLbls>
        <c:gapWidth val="80"/>
        <c:overlap val="-15"/>
        <c:axId val="1055540896"/>
        <c:axId val="1878472448"/>
      </c:barChart>
      <c:catAx>
        <c:axId val="10555408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878472448"/>
        <c:crosses val="autoZero"/>
        <c:auto val="1"/>
        <c:lblAlgn val="ctr"/>
        <c:lblOffset val="100"/>
        <c:noMultiLvlLbl val="0"/>
      </c:catAx>
      <c:valAx>
        <c:axId val="1878472448"/>
        <c:scaling>
          <c:orientation val="minMax"/>
          <c:max val="0.25"/>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cap="none"/>
                  <a:t>Percentage of Workers</a:t>
                </a:r>
              </a:p>
            </c:rich>
          </c:tx>
          <c:layout>
            <c:manualLayout>
              <c:xMode val="edge"/>
              <c:yMode val="edge"/>
              <c:x val="1.7837235228539576E-2"/>
              <c:y val="0.36389088744098674"/>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055540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a:t>
            </a:r>
            <a:r>
              <a:rPr lang="en-US" baseline="0"/>
              <a:t> Workers by Daily Work Hours, </a:t>
            </a:r>
            <a:r>
              <a:rPr lang="en-US"/>
              <a:t>2013-2020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1 to 6 hours</c:v>
                </c:pt>
              </c:strCache>
            </c:strRef>
          </c:tx>
          <c:spPr>
            <a:solidFill>
              <a:schemeClr val="accent1">
                <a:lumMod val="40000"/>
                <a:lumOff val="60000"/>
              </a:schemeClr>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0-B025-41CC-8E7A-B6A8F8054E49}"/>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1-B025-41CC-8E7A-B6A8F8054E49}"/>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2-B025-41CC-8E7A-B6A8F8054E49}"/>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3-B025-41CC-8E7A-B6A8F8054E4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2013</c:v>
                </c:pt>
                <c:pt idx="1">
                  <c:v>2015</c:v>
                </c:pt>
                <c:pt idx="2">
                  <c:v>2017</c:v>
                </c:pt>
                <c:pt idx="3">
                  <c:v>2018</c:v>
                </c:pt>
              </c:numCache>
            </c:numRef>
          </c:cat>
          <c:val>
            <c:numRef>
              <c:f>Sheet1!$B$2:$B$5</c:f>
              <c:numCache>
                <c:formatCode>0%</c:formatCode>
                <c:ptCount val="4"/>
                <c:pt idx="0">
                  <c:v>0.15</c:v>
                </c:pt>
                <c:pt idx="1">
                  <c:v>0.15</c:v>
                </c:pt>
                <c:pt idx="2">
                  <c:v>0.12</c:v>
                </c:pt>
                <c:pt idx="3">
                  <c:v>0.11</c:v>
                </c:pt>
              </c:numCache>
            </c:numRef>
          </c:val>
          <c:extLst>
            <c:ext xmlns:c16="http://schemas.microsoft.com/office/drawing/2014/chart" uri="{C3380CC4-5D6E-409C-BE32-E72D297353CC}">
              <c16:uniqueId val="{00000000-AF38-4FAC-B7AD-4CCF01AF40E8}"/>
            </c:ext>
          </c:extLst>
        </c:ser>
        <c:ser>
          <c:idx val="1"/>
          <c:order val="1"/>
          <c:tx>
            <c:strRef>
              <c:f>Sheet1!$C$1</c:f>
              <c:strCache>
                <c:ptCount val="1"/>
                <c:pt idx="0">
                  <c:v>6.1 to 8 hours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2013</c:v>
                </c:pt>
                <c:pt idx="1">
                  <c:v>2015</c:v>
                </c:pt>
                <c:pt idx="2">
                  <c:v>2017</c:v>
                </c:pt>
                <c:pt idx="3">
                  <c:v>2018</c:v>
                </c:pt>
              </c:numCache>
            </c:numRef>
          </c:cat>
          <c:val>
            <c:numRef>
              <c:f>Sheet1!$C$2:$C$5</c:f>
              <c:numCache>
                <c:formatCode>0%</c:formatCode>
                <c:ptCount val="4"/>
                <c:pt idx="0">
                  <c:v>0.45</c:v>
                </c:pt>
                <c:pt idx="1">
                  <c:v>0.4</c:v>
                </c:pt>
                <c:pt idx="2">
                  <c:v>0.46</c:v>
                </c:pt>
                <c:pt idx="3">
                  <c:v>0.46</c:v>
                </c:pt>
              </c:numCache>
            </c:numRef>
          </c:val>
          <c:extLst>
            <c:ext xmlns:c16="http://schemas.microsoft.com/office/drawing/2014/chart" uri="{C3380CC4-5D6E-409C-BE32-E72D297353CC}">
              <c16:uniqueId val="{00000001-AF38-4FAC-B7AD-4CCF01AF40E8}"/>
            </c:ext>
          </c:extLst>
        </c:ser>
        <c:ser>
          <c:idx val="2"/>
          <c:order val="2"/>
          <c:tx>
            <c:strRef>
              <c:f>Sheet1!$D$1</c:f>
              <c:strCache>
                <c:ptCount val="1"/>
                <c:pt idx="0">
                  <c:v>8.1 to 10 hours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2013</c:v>
                </c:pt>
                <c:pt idx="1">
                  <c:v>2015</c:v>
                </c:pt>
                <c:pt idx="2">
                  <c:v>2017</c:v>
                </c:pt>
                <c:pt idx="3">
                  <c:v>2018</c:v>
                </c:pt>
              </c:numCache>
            </c:numRef>
          </c:cat>
          <c:val>
            <c:numRef>
              <c:f>Sheet1!$D$2:$D$5</c:f>
              <c:numCache>
                <c:formatCode>0%</c:formatCode>
                <c:ptCount val="4"/>
                <c:pt idx="0">
                  <c:v>0.31</c:v>
                </c:pt>
                <c:pt idx="1">
                  <c:v>0.37</c:v>
                </c:pt>
                <c:pt idx="2">
                  <c:v>0.34</c:v>
                </c:pt>
                <c:pt idx="3">
                  <c:v>0.33</c:v>
                </c:pt>
              </c:numCache>
            </c:numRef>
          </c:val>
          <c:extLst>
            <c:ext xmlns:c16="http://schemas.microsoft.com/office/drawing/2014/chart" uri="{C3380CC4-5D6E-409C-BE32-E72D297353CC}">
              <c16:uniqueId val="{00000002-AF38-4FAC-B7AD-4CCF01AF40E8}"/>
            </c:ext>
          </c:extLst>
        </c:ser>
        <c:ser>
          <c:idx val="3"/>
          <c:order val="3"/>
          <c:tx>
            <c:strRef>
              <c:f>Sheet1!$E$1</c:f>
              <c:strCache>
                <c:ptCount val="1"/>
                <c:pt idx="0">
                  <c:v>10.1 to 14 hours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2013</c:v>
                </c:pt>
                <c:pt idx="1">
                  <c:v>2015</c:v>
                </c:pt>
                <c:pt idx="2">
                  <c:v>2017</c:v>
                </c:pt>
                <c:pt idx="3">
                  <c:v>2018</c:v>
                </c:pt>
              </c:numCache>
            </c:numRef>
          </c:cat>
          <c:val>
            <c:numRef>
              <c:f>Sheet1!$E$2:$E$5</c:f>
              <c:numCache>
                <c:formatCode>0%</c:formatCode>
                <c:ptCount val="4"/>
                <c:pt idx="0">
                  <c:v>0.09</c:v>
                </c:pt>
                <c:pt idx="1">
                  <c:v>0.08</c:v>
                </c:pt>
                <c:pt idx="2">
                  <c:v>0.08</c:v>
                </c:pt>
                <c:pt idx="3">
                  <c:v>0.09</c:v>
                </c:pt>
              </c:numCache>
            </c:numRef>
          </c:val>
          <c:extLst>
            <c:ext xmlns:c16="http://schemas.microsoft.com/office/drawing/2014/chart" uri="{C3380CC4-5D6E-409C-BE32-E72D297353CC}">
              <c16:uniqueId val="{00000003-AF38-4FAC-B7AD-4CCF01AF40E8}"/>
            </c:ext>
          </c:extLst>
        </c:ser>
        <c:dLbls>
          <c:dLblPos val="ctr"/>
          <c:showLegendKey val="0"/>
          <c:showVal val="1"/>
          <c:showCatName val="0"/>
          <c:showSerName val="0"/>
          <c:showPercent val="0"/>
          <c:showBubbleSize val="0"/>
        </c:dLbls>
        <c:gapWidth val="150"/>
        <c:overlap val="100"/>
        <c:axId val="1712559952"/>
        <c:axId val="1712554960"/>
      </c:barChart>
      <c:catAx>
        <c:axId val="171255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554960"/>
        <c:crosses val="autoZero"/>
        <c:auto val="1"/>
        <c:lblAlgn val="ctr"/>
        <c:lblOffset val="100"/>
        <c:noMultiLvlLbl val="0"/>
      </c:catAx>
      <c:valAx>
        <c:axId val="171255496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Workers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559952"/>
        <c:crosses val="autoZero"/>
        <c:crossBetween val="between"/>
        <c:majorUnit val="0.25"/>
      </c:valAx>
      <c:spPr>
        <a:noFill/>
        <a:ln>
          <a:noFill/>
        </a:ln>
        <a:effectLst/>
      </c:spPr>
    </c:plotArea>
    <c:legend>
      <c:legendPos val="r"/>
      <c:layout>
        <c:manualLayout>
          <c:xMode val="edge"/>
          <c:yMode val="edge"/>
          <c:x val="0.80628062117235344"/>
          <c:y val="0.32395551275515022"/>
          <c:w val="0.15898912226350867"/>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400" b="0" i="0" u="none" strike="noStrike" kern="1200" cap="none" spc="0" normalizeH="0" baseline="0" noProof="0">
                <a:ln>
                  <a:noFill/>
                </a:ln>
                <a:solidFill>
                  <a:sysClr val="windowText" lastClr="000000">
                    <a:lumMod val="65000"/>
                    <a:lumOff val="35000"/>
                  </a:sysClr>
                </a:solidFill>
                <a:effectLst/>
                <a:uLnTx/>
                <a:uFillTx/>
                <a:latin typeface="Calibri"/>
              </a:rPr>
              <a:t>Percentage of Farmworkers with Health Insurance, 2013-2020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2013</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All Agricultural Workers</c:v>
                </c:pt>
                <c:pt idx="1">
                  <c:v>Authorized</c:v>
                </c:pt>
                <c:pt idx="2">
                  <c:v>Unauthorized</c:v>
                </c:pt>
                <c:pt idx="3">
                  <c:v>Settled</c:v>
                </c:pt>
                <c:pt idx="4">
                  <c:v>Migratory</c:v>
                </c:pt>
              </c:strCache>
            </c:strRef>
          </c:cat>
          <c:val>
            <c:numRef>
              <c:f>Sheet1!$B$2:$B$6</c:f>
              <c:numCache>
                <c:formatCode>0%</c:formatCode>
                <c:ptCount val="5"/>
                <c:pt idx="0">
                  <c:v>0.35</c:v>
                </c:pt>
                <c:pt idx="1">
                  <c:v>0.52</c:v>
                </c:pt>
                <c:pt idx="2">
                  <c:v>0.15</c:v>
                </c:pt>
                <c:pt idx="3">
                  <c:v>0.38</c:v>
                </c:pt>
                <c:pt idx="4">
                  <c:v>0.16</c:v>
                </c:pt>
              </c:numCache>
            </c:numRef>
          </c:val>
          <c:extLst>
            <c:ext xmlns:c16="http://schemas.microsoft.com/office/drawing/2014/chart" uri="{C3380CC4-5D6E-409C-BE32-E72D297353CC}">
              <c16:uniqueId val="{00000000-9CB8-4741-B076-55D542D0F104}"/>
            </c:ext>
          </c:extLst>
        </c:ser>
        <c:ser>
          <c:idx val="1"/>
          <c:order val="1"/>
          <c:tx>
            <c:strRef>
              <c:f>Sheet1!$C$1</c:f>
              <c:strCache>
                <c:ptCount val="1"/>
                <c:pt idx="0">
                  <c:v>2015</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All Agricultural Workers</c:v>
                </c:pt>
                <c:pt idx="1">
                  <c:v>Authorized</c:v>
                </c:pt>
                <c:pt idx="2">
                  <c:v>Unauthorized</c:v>
                </c:pt>
                <c:pt idx="3">
                  <c:v>Settled</c:v>
                </c:pt>
                <c:pt idx="4">
                  <c:v>Migratory</c:v>
                </c:pt>
              </c:strCache>
            </c:strRef>
          </c:cat>
          <c:val>
            <c:numRef>
              <c:f>Sheet1!$C$2:$C$6</c:f>
              <c:numCache>
                <c:formatCode>0%</c:formatCode>
                <c:ptCount val="5"/>
                <c:pt idx="0">
                  <c:v>0.47</c:v>
                </c:pt>
                <c:pt idx="1">
                  <c:v>0.69</c:v>
                </c:pt>
                <c:pt idx="2">
                  <c:v>0.24</c:v>
                </c:pt>
                <c:pt idx="3">
                  <c:v>0.5</c:v>
                </c:pt>
                <c:pt idx="4">
                  <c:v>0.34</c:v>
                </c:pt>
              </c:numCache>
            </c:numRef>
          </c:val>
          <c:extLst>
            <c:ext xmlns:c16="http://schemas.microsoft.com/office/drawing/2014/chart" uri="{C3380CC4-5D6E-409C-BE32-E72D297353CC}">
              <c16:uniqueId val="{00000001-9CB8-4741-B076-55D542D0F104}"/>
            </c:ext>
          </c:extLst>
        </c:ser>
        <c:ser>
          <c:idx val="2"/>
          <c:order val="2"/>
          <c:tx>
            <c:strRef>
              <c:f>Sheet1!$D$1</c:f>
              <c:strCache>
                <c:ptCount val="1"/>
                <c:pt idx="0">
                  <c:v>2017</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All Agricultural Workers</c:v>
                </c:pt>
                <c:pt idx="1">
                  <c:v>Authorized</c:v>
                </c:pt>
                <c:pt idx="2">
                  <c:v>Unauthorized</c:v>
                </c:pt>
                <c:pt idx="3">
                  <c:v>Settled</c:v>
                </c:pt>
                <c:pt idx="4">
                  <c:v>Migratory</c:v>
                </c:pt>
              </c:strCache>
            </c:strRef>
          </c:cat>
          <c:val>
            <c:numRef>
              <c:f>Sheet1!$D$2:$D$6</c:f>
              <c:numCache>
                <c:formatCode>0%</c:formatCode>
                <c:ptCount val="5"/>
                <c:pt idx="0">
                  <c:v>0.56000000000000005</c:v>
                </c:pt>
                <c:pt idx="1">
                  <c:v>0.71</c:v>
                </c:pt>
                <c:pt idx="2">
                  <c:v>0.31</c:v>
                </c:pt>
                <c:pt idx="3">
                  <c:v>0.59</c:v>
                </c:pt>
                <c:pt idx="4">
                  <c:v>0.4</c:v>
                </c:pt>
              </c:numCache>
            </c:numRef>
          </c:val>
          <c:extLst>
            <c:ext xmlns:c16="http://schemas.microsoft.com/office/drawing/2014/chart" uri="{C3380CC4-5D6E-409C-BE32-E72D297353CC}">
              <c16:uniqueId val="{00000002-9CB8-4741-B076-55D542D0F104}"/>
            </c:ext>
          </c:extLst>
        </c:ser>
        <c:ser>
          <c:idx val="3"/>
          <c:order val="3"/>
          <c:tx>
            <c:strRef>
              <c:f>Sheet1!$E$1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All Agricultural Workers</c:v>
                </c:pt>
                <c:pt idx="1">
                  <c:v>Authorized</c:v>
                </c:pt>
                <c:pt idx="2">
                  <c:v>Unauthorized</c:v>
                </c:pt>
                <c:pt idx="3">
                  <c:v>Settled</c:v>
                </c:pt>
                <c:pt idx="4">
                  <c:v>Migratory</c:v>
                </c:pt>
              </c:strCache>
            </c:strRef>
          </c:cat>
          <c:val>
            <c:numRef>
              <c:f>Sheet1!$E$2:$E$6</c:f>
              <c:numCache>
                <c:formatCode>0%</c:formatCode>
                <c:ptCount val="5"/>
                <c:pt idx="0">
                  <c:v>0.48</c:v>
                </c:pt>
                <c:pt idx="1">
                  <c:v>0.68</c:v>
                </c:pt>
                <c:pt idx="2">
                  <c:v>0.22</c:v>
                </c:pt>
                <c:pt idx="3">
                  <c:v>0.49</c:v>
                </c:pt>
                <c:pt idx="4">
                  <c:v>0.41</c:v>
                </c:pt>
              </c:numCache>
            </c:numRef>
          </c:val>
          <c:extLst>
            <c:ext xmlns:c16="http://schemas.microsoft.com/office/drawing/2014/chart" uri="{C3380CC4-5D6E-409C-BE32-E72D297353CC}">
              <c16:uniqueId val="{00000000-AAD3-4396-9399-3BA324FE325D}"/>
            </c:ext>
          </c:extLst>
        </c:ser>
        <c:dLbls>
          <c:dLblPos val="inEnd"/>
          <c:showLegendKey val="0"/>
          <c:showVal val="1"/>
          <c:showCatName val="0"/>
          <c:showSerName val="0"/>
          <c:showPercent val="0"/>
          <c:showBubbleSize val="0"/>
        </c:dLbls>
        <c:gapWidth val="150"/>
        <c:axId val="1880770384"/>
        <c:axId val="1880770800"/>
      </c:barChart>
      <c:catAx>
        <c:axId val="188077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770800"/>
        <c:crosses val="autoZero"/>
        <c:auto val="1"/>
        <c:lblAlgn val="ctr"/>
        <c:lblOffset val="100"/>
        <c:noMultiLvlLbl val="0"/>
      </c:catAx>
      <c:valAx>
        <c:axId val="188077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077038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B4FE5EC3540BCAE60EF7A71E7ECE9"/>
        <w:category>
          <w:name w:val="General"/>
          <w:gallery w:val="placeholder"/>
        </w:category>
        <w:types>
          <w:type w:val="bbPlcHdr"/>
        </w:types>
        <w:behaviors>
          <w:behavior w:val="content"/>
        </w:behaviors>
        <w:guid w:val="{D26828F2-79D5-4A19-89E0-33EFF66808E2}"/>
      </w:docPartPr>
      <w:docPartBody>
        <w:p w:rsidR="002C379F" w:rsidRDefault="006F2E1E" w:rsidP="006F2E1E">
          <w:pPr>
            <w:pStyle w:val="CF3B4FE5EC3540BCAE60EF7A71E7ECE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panose1 w:val="00000000000000000000"/>
    <w:charset w:val="00"/>
    <w:family w:val="auto"/>
    <w:pitch w:val="variable"/>
    <w:sig w:usb0="A00000FF" w:usb1="0000204B" w:usb2="00000000" w:usb3="00000000" w:csb0="00000193"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Condensed SemiBold">
    <w:altName w:val="Calibri"/>
    <w:charset w:val="00"/>
    <w:family w:val="auto"/>
    <w:pitch w:val="variable"/>
    <w:sig w:usb0="A00000FF" w:usb1="0000204B" w:usb2="00000000" w:usb3="00000000" w:csb0="00000193" w:csb1="00000000"/>
  </w:font>
  <w:font w:name="Roboto Light">
    <w:altName w:val="Times New Roman"/>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1E"/>
    <w:rsid w:val="00025363"/>
    <w:rsid w:val="00067321"/>
    <w:rsid w:val="00132394"/>
    <w:rsid w:val="00153F89"/>
    <w:rsid w:val="00220599"/>
    <w:rsid w:val="002C379F"/>
    <w:rsid w:val="002F0FF2"/>
    <w:rsid w:val="0033255C"/>
    <w:rsid w:val="00557062"/>
    <w:rsid w:val="005655B7"/>
    <w:rsid w:val="006F2E1E"/>
    <w:rsid w:val="0076274B"/>
    <w:rsid w:val="007C0638"/>
    <w:rsid w:val="007D45F9"/>
    <w:rsid w:val="007E1301"/>
    <w:rsid w:val="007E37D0"/>
    <w:rsid w:val="0080036B"/>
    <w:rsid w:val="008B0949"/>
    <w:rsid w:val="0096614B"/>
    <w:rsid w:val="009B2F23"/>
    <w:rsid w:val="00BC014C"/>
    <w:rsid w:val="00C144CC"/>
    <w:rsid w:val="00C5448F"/>
    <w:rsid w:val="00C66D42"/>
    <w:rsid w:val="00D611E7"/>
    <w:rsid w:val="00EF6D80"/>
    <w:rsid w:val="00F6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E1E"/>
    <w:rPr>
      <w:color w:val="808080"/>
    </w:rPr>
  </w:style>
  <w:style w:type="paragraph" w:customStyle="1" w:styleId="CF3B4FE5EC3540BCAE60EF7A71E7ECE9">
    <w:name w:val="CF3B4FE5EC3540BCAE60EF7A71E7ECE9"/>
    <w:rsid w:val="006F2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391C6"/>
      </a:accent1>
      <a:accent2>
        <a:srgbClr val="DEC802"/>
      </a:accent2>
      <a:accent3>
        <a:srgbClr val="632C9F"/>
      </a:accent3>
      <a:accent4>
        <a:srgbClr val="00C7AC"/>
      </a:accent4>
      <a:accent5>
        <a:srgbClr val="0872BA"/>
      </a:accent5>
      <a:accent6>
        <a:srgbClr val="BD1A8D"/>
      </a:accent6>
      <a:hlink>
        <a:srgbClr val="0070C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7263EE-DD43-4ECA-BC9D-6C0F0CAAA9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NCFH 2022</dc:creator>
  <lastModifiedBy>Abigail Riggenbach</lastModifiedBy>
  <revision>5</revision>
  <lastPrinted>2021-10-29T17:16:00.0000000Z</lastPrinted>
  <dcterms:created xsi:type="dcterms:W3CDTF">2022-12-07T17:36:00.0000000Z</dcterms:created>
  <dcterms:modified xsi:type="dcterms:W3CDTF">2023-01-23T16:05:38.2930983Z</dcterms:modified>
</coreProperties>
</file>